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3D11AF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3" type="#_x0000_t202" style="position:absolute;left:0;text-align:left;margin-left:-10.65pt;margin-top:-35.65pt;width:492pt;height:67.5pt;z-index:251715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สำหรับ หลักสูตร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ระดับ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เอก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 –</w:t>
                  </w:r>
                </w:p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BE0B9A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0203CA98" wp14:editId="667FD9B2">
            <wp:simplePos x="0" y="0"/>
            <wp:positionH relativeFrom="column">
              <wp:posOffset>2402840</wp:posOffset>
            </wp:positionH>
            <wp:positionV relativeFrom="paragraph">
              <wp:posOffset>134620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3B0FAA" w:rsidRPr="003F125A" w:rsidRDefault="003B0FAA" w:rsidP="003B0FAA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3B0FAA" w:rsidRPr="00E55FE4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4672B5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011B6B" w:rsidRDefault="00256E05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2561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256E05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256E05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183971" w:rsidRDefault="00183971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183971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3D11A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683FEA" w:rsidRPr="00EE0E82" w:rsidRDefault="00683FEA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D21956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</w:p>
    <w:p w:rsidR="005C5B51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>ระดับปริญญา</w:t>
      </w:r>
      <w:r w:rsidRPr="003B0FA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 w:rsidRPr="003B0FAA">
        <w:rPr>
          <w:rFonts w:ascii="TH SarabunPSK" w:eastAsia="CordiaNew-Bold" w:hAnsi="TH SarabunPSK" w:cs="TH SarabunPSK"/>
          <w:b/>
          <w:bCs/>
          <w:color w:val="FF0000"/>
          <w:sz w:val="28"/>
          <w:highlight w:val="yellow"/>
          <w:u w:val="single"/>
          <w:cs/>
        </w:rPr>
        <w:t>(เกณฑ์มาตรฐานหลักสูตร พ.ศ. 2548)</w:t>
      </w:r>
      <w:r w:rsidRPr="003B0FAA">
        <w:rPr>
          <w:rFonts w:ascii="TH SarabunPSK" w:eastAsia="CordiaNew-Bold" w:hAnsi="TH SarabunPSK" w:cs="TH SarabunPSK"/>
          <w:b/>
          <w:bCs/>
          <w:sz w:val="28"/>
          <w:u w:val="single"/>
          <w:cs/>
        </w:rPr>
        <w:t xml:space="preserve">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 w:rsidR="005C5B51"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5C5B51"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="005C5B51"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4677"/>
      </w:tblGrid>
      <w:tr w:rsidR="003B0FAA" w:rsidRPr="0035368E" w:rsidTr="003B0FAA">
        <w:trPr>
          <w:trHeight w:val="367"/>
          <w:tblHeader/>
        </w:trPr>
        <w:tc>
          <w:tcPr>
            <w:tcW w:w="5070" w:type="dxa"/>
            <w:gridSpan w:val="2"/>
            <w:vMerge w:val="restart"/>
          </w:tcPr>
          <w:p w:rsidR="003B0FAA" w:rsidRPr="0035368E" w:rsidRDefault="003B0FAA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7" w:type="dxa"/>
            <w:vMerge w:val="restart"/>
          </w:tcPr>
          <w:p w:rsidR="003B0FAA" w:rsidRPr="0035368E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3B0FAA">
        <w:trPr>
          <w:trHeight w:val="542"/>
          <w:tblHeader/>
        </w:trPr>
        <w:tc>
          <w:tcPr>
            <w:tcW w:w="5070" w:type="dxa"/>
            <w:gridSpan w:val="2"/>
            <w:vMerge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7" w:type="dxa"/>
            <w:vMerge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. 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3B0FAA" w:rsidRPr="009D3B48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3B0FAA" w:rsidRPr="003C2730" w:rsidRDefault="003B0FAA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มีประสบการณ์ด้านการสอน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3C2730" w:rsidRDefault="003B0FAA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3B0FAA" w:rsidRPr="004A3862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>1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. 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3B0FA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3B0FAA" w:rsidRPr="00AF707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ภายนอ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สถาบันที่มีคุณวุฒิปริญญาเอกหรือดำรงตำแหน่งทางวิชาการไม่ต่ำกว่ารองศาสตราจารย์ในสาขาวิชานั้นหรือสาขาวิชาที่สัมพันธ์กันและ</w:t>
            </w:r>
          </w:p>
          <w:p w:rsidR="003B0FAA" w:rsidRPr="007C088A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8B1A5C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) 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9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วิทยานิพนธ์ 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10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อาจารย์ที่ปรึกษา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3B0FAA" w:rsidRPr="00C310C0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3B0FAA" w:rsidRPr="005F27B0" w:rsidRDefault="003B0FAA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21956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3B0FAA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</w:t>
      </w:r>
      <w:r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10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4252"/>
      </w:tblGrid>
      <w:tr w:rsidR="003B0FAA" w:rsidRPr="0035368E" w:rsidTr="004778CE">
        <w:trPr>
          <w:trHeight w:val="367"/>
          <w:tblHeader/>
        </w:trPr>
        <w:tc>
          <w:tcPr>
            <w:tcW w:w="5637" w:type="dxa"/>
            <w:gridSpan w:val="2"/>
            <w:vMerge w:val="restart"/>
            <w:vAlign w:val="center"/>
          </w:tcPr>
          <w:p w:rsidR="003B0FAA" w:rsidRPr="0035368E" w:rsidRDefault="003B0FAA" w:rsidP="004778C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vAlign w:val="center"/>
          </w:tcPr>
          <w:p w:rsidR="003B0FAA" w:rsidRPr="0035368E" w:rsidRDefault="003B0FAA" w:rsidP="004778C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4778C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4778CE">
        <w:trPr>
          <w:trHeight w:val="542"/>
          <w:tblHeader/>
        </w:trPr>
        <w:tc>
          <w:tcPr>
            <w:tcW w:w="5637" w:type="dxa"/>
            <w:gridSpan w:val="2"/>
            <w:vMerge/>
          </w:tcPr>
          <w:p w:rsidR="003B0FAA" w:rsidRPr="0035368E" w:rsidRDefault="003B0FAA" w:rsidP="004778CE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</w:tcPr>
          <w:p w:rsidR="003B0FAA" w:rsidRPr="0035368E" w:rsidRDefault="003B0FAA" w:rsidP="004778CE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A360C0" w:rsidRPr="0035368E" w:rsidTr="00470D7C">
        <w:tc>
          <w:tcPr>
            <w:tcW w:w="1242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: ในกรณีหลักสูตรปริญญาโทและปริญญาเอ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สาขาวิชาเดียวกัน สามารถใช้อาจารย์ผู้รับผิดชอบหลักสูตรชุดเดียวกันได้</w:t>
            </w:r>
          </w:p>
        </w:tc>
        <w:tc>
          <w:tcPr>
            <w:tcW w:w="4252" w:type="dxa"/>
          </w:tcPr>
          <w:p w:rsidR="00A360C0" w:rsidRPr="00E34B8B" w:rsidRDefault="00A360C0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A360C0" w:rsidRPr="00E34B8B" w:rsidRDefault="00A360C0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</w:p>
        </w:tc>
      </w:tr>
      <w:tr w:rsidR="003B0FAA" w:rsidRPr="0035368E" w:rsidTr="00470D7C">
        <w:tc>
          <w:tcPr>
            <w:tcW w:w="1242" w:type="dxa"/>
          </w:tcPr>
          <w:p w:rsidR="003B0FAA" w:rsidRPr="00E34B8B" w:rsidRDefault="003B0FAA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</w:t>
            </w:r>
            <w:r w:rsidR="00470D7C"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ของอาจารย์ผู้รับผิดชอบหลักสูตร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</w:t>
            </w:r>
            <w:r w:rsidR="00FB75D5"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แหน่งทางวิชาการระดับศาสตราจารย์</w:t>
            </w:r>
          </w:p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3B0FAA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หรือมีจำนวนนักศึกษาน้อยกว่า 10 คน ทางสถาบันอุดมศึกษาต้องเสนอ</w:t>
            </w:r>
            <w:r w:rsidR="00A360C0"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จำนวนและคุณวุฒิของอาจารย์ผู้รับผิดชอบหลักสูตรที่มีนั้นให้คณะกรรมการการอุดมศึกษาพิจารณาเป็นรายกรณี</w:t>
            </w:r>
          </w:p>
        </w:tc>
        <w:tc>
          <w:tcPr>
            <w:tcW w:w="4252" w:type="dxa"/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FB75D5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หรือขั้นต่ำปริญญาโทหรือเทียบเท่าที่มีตำแหน่งทางวิชาการระดับรอศาสตราจารย์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B75D5" w:rsidRPr="00E34B8B" w:rsidRDefault="00FB75D5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</w:t>
            </w:r>
          </w:p>
        </w:tc>
      </w:tr>
      <w:tr w:rsidR="003B0FAA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ต้องเป็นอาจารย์ประจำหรืออาจารย์พิเศษที่มีคุณวุฒิขั้นต่ำปริญญาเอกหรือเทียบเท่า หรือขั้นต่ำปริญญาโทหรือเทียบเท่าที่มีตำแหน่งทางวิชาการระดับรองศาสตราจารย์ในสาขาวิชานั้นหรือสาขาวิชาที่สัมพันธ์กันหรือในสาขาวิชาของรายวิชาที่สอน</w:t>
            </w:r>
          </w:p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FB75D5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กรณีรายวิชาที่สอนไม่ใช่วิชาในสาขาวิชาของหลักสูตร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อนุโล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ม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ให้อาจารย์ที่มีคุณวุฒ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ิระดับปริญญาโทหรือเทียบเท่าที่ม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ี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ตำแหน่งทางวิชาการต่ำกว่ารองศาสตราจารย์ทำหน้าที่อาจารย์ผู้สอนได้</w:t>
            </w:r>
          </w:p>
          <w:p w:rsidR="003B0FAA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อาจารย์พิเศษต้องมีชั่วโมงสอนไม่เกินร้อยละ 50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ของรายวิชา </w:t>
            </w:r>
            <w:r w:rsidR="00E34B8B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="00FB75D5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</w:t>
            </w:r>
            <w:r w:rsidR="00E34B8B"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ที่ปรึกษาการค้นคว้าอิสระ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70D7C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ต้องเป็นอาจารย์ประจำหลักสูตรที่มีคุณวุฒิปริญญาเอกหรือเทียบเท่า หรือขั้นต่ำปริญญาโทหรือเทียบเท่าที่มีตำแหน่ง</w:t>
            </w:r>
            <w:r w:rsidR="00E34B8B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</w:t>
            </w:r>
            <w:r w:rsidR="00470D7C"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</w:t>
            </w:r>
          </w:p>
          <w:p w:rsidR="00295379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</w:t>
            </w:r>
            <w:r w:rsidR="00470D7C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ตำแหน่งทางวิชาการอย่างน้อย 3 รายการในรอบ 5 ปีย้อนหลังโดยอย่างน้อย 1 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  <w:r w:rsidR="00E34B8B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="00FB75D5"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กรณีเป็นอาจารย์ประจำ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</w:t>
            </w:r>
            <w:r w:rsidR="00E34B8B"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ภายนอก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ต้องมีคุณวุฒิปริญญาเอกหรื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่าและมีผลงานทางวิชาการที่ได้รับการตีพิมพ์เผยแพร่ในวารสารที่มีชื่ออยู่ในฐานข้อมูลที่เป็นที่ยอมรั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บในระดับนานาชาติ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ซึ่งตรงหรือสัมพันธ์กับหัวข้อวิทยานิพนธ์หรือการค้นคว้าอิสระไม่น้อยกว่า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5 เรื่อง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โดยผ่านความเห็นชอบจากสภาสถาบันอุดมศึกษาแห่งนั้นและแจ้งคณะกรรมการการอุดมศึกษา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ประกอบด้วย อาจารย์ประจำหลักสูตรและผู้ทรงคุณวุฒิภายนอกสถาบัน รวมไม่น้อยกว่า 5 คน ทั้งนี้ ประธานกรรมการสอบต้อง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เป็นผู้ทรงคุณวุฒิภายนอก โดยอาจารย์ผู้สอบวิทยานิพนธ์ต้องมีคุณวุฒิ คุณสมบัติ และผลงานทางวิชาการดังนี้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กรณีอาจารย์ประจำหลักสูตร</w:t>
            </w:r>
            <w:r w:rsidR="00470D7C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เทียบเท่าหรือขั้นต่ำปริญญาโทหรือเทียบเท่าที่มีตำแหน่งทางวิชาการระดับ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และมีผลงานทางวิชาการที่ไม่ใช่ส่วนหนึ่งของการศึกษาเพื่อรับปริญญา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3 รายการ ในรอบ 5 ปีย้อนหลัง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โดยอย่างน้อย 1 รายการ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ต้องเป็นผลงานวิจัย</w:t>
            </w:r>
          </w:p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กรณีผู้ทรงคุณวุฒิภายนอก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นานาชาติ ซึ่งตรงหรือสัมพันธ์กับหัวข้อวิทยานิพนธ์หรือการค้นคว้าอิสระ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ไม่น้อยก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ว่า 5 เรื่อ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กรณีเป็นผู้ทรงคุณวุฒิภายนอกที่ไม่มีคุณวุฒิและผลงานทางวิชาการตามที่กำหนด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 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395" w:type="dxa"/>
          </w:tcPr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1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ผลงานวิทยานิพนธ์หรือส่วนหนึ่งของวิทยานิพนธ์ต้องได้รับการตีพิมพ์ หรืออย่างน้อยได้รับการยอมรับให้ตีพิมพ์ในวารสารระดับชาติหรือร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ะดับนานาชาติที่มีคุณภาพตามประกา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ศ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หลักเกณฑ์การพิจารณาวารสารทางวิชาการสำหรับการเผยแพร่ผลงานทางวิชาการอย่างน้อย 2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เ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2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เรื่อง หลักเกณฑ์การพิจารณาวารสารทางวิชาการสำหรับการเผยแพร่ผลงานทางวิชาการ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</w:t>
            </w:r>
            <w:r w:rsidR="00E34B8B"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               ร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วมได้ไม่เกิน 5 คนต่อภาคการศึกษา</w:t>
            </w:r>
          </w:p>
          <w:p w:rsidR="00E34B8B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ขึ้นไป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หรือมีคุณวุฒิปริญญาโทหรือเทียบเท่าที่ตำแหน่งทางวิชาการ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ต่อภาคการศึกษา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แต่ทั้งนี้ต้องไม่เกิด 15 คนต่อภาคการศึกษา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 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506B98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 w:rsidRPr="00506B9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395" w:type="dxa"/>
          </w:tcPr>
          <w:p w:rsidR="00A360C0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ต้องไม่เกิน 5 ปี 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  <w:lang w:eastAsia="zh-CN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(จะต้องปรับปรุงให้เสร็จและอนุมัติ/ให้ความเห็นชอบโดย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สภามหาวิทยาลัย/สถาบัน เพื่อให้หลักสูตรใช้งานในปีที่ 6)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  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</w:p>
        </w:tc>
      </w:tr>
    </w:tbl>
    <w:p w:rsidR="00CF6788" w:rsidRDefault="00CF6788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E34B8B">
            <w:pPr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10BF9" w:rsidRPr="008167C8" w:rsidRDefault="000A5121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CF6788" w:rsidRPr="00FD640B" w:rsidRDefault="00CF6788" w:rsidP="00CF678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F6788" w:rsidRPr="00C7662A" w:rsidTr="004778CE">
        <w:trPr>
          <w:trHeight w:val="385"/>
        </w:trPr>
        <w:tc>
          <w:tcPr>
            <w:tcW w:w="4962" w:type="dxa"/>
          </w:tcPr>
          <w:p w:rsidR="00CF6788" w:rsidRPr="00C7662A" w:rsidRDefault="00CF6788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F6788" w:rsidRPr="00C7662A" w:rsidRDefault="00CF6788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F6788" w:rsidRPr="008D4432" w:rsidTr="004778CE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CF6788" w:rsidRPr="00C7662A" w:rsidTr="004778CE">
        <w:trPr>
          <w:trHeight w:val="385"/>
        </w:trPr>
        <w:tc>
          <w:tcPr>
            <w:tcW w:w="4962" w:type="dxa"/>
          </w:tcPr>
          <w:p w:rsidR="00CF6788" w:rsidRPr="00C7662A" w:rsidRDefault="00CF6788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F6788" w:rsidRPr="00C7662A" w:rsidRDefault="00CF6788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F6788" w:rsidRPr="008D4432" w:rsidTr="004778CE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3D11AF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05689" w:rsidRPr="00DF1643" w:rsidRDefault="00705689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92E3B" w:rsidRPr="008C7E11" w:rsidRDefault="00D21956" w:rsidP="00792E3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(</w:t>
      </w:r>
      <w:r w:rsidR="00792E3B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ปริญญาเอก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)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</w:t>
      </w:r>
      <w:r w:rsidR="00792E3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เอก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ที่ได้รับการตีพิมพ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792E3B" w:rsidRPr="008C7E1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792E3B" w:rsidRPr="001509A8" w:rsidRDefault="00792E3B" w:rsidP="00792E3B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</w:t>
      </w:r>
      <w:r w:rsidRPr="00413C0F">
        <w:rPr>
          <w:rFonts w:ascii="TH SarabunPSK" w:hAnsi="TH SarabunPSK" w:cs="TH SarabunPSK"/>
          <w:sz w:val="28"/>
          <w:cs/>
        </w:rPr>
        <w:t xml:space="preserve">– </w:t>
      </w:r>
      <w:r w:rsidRPr="00413C0F">
        <w:rPr>
          <w:rFonts w:ascii="TH SarabunPSK" w:hAnsi="TH SarabunPSK" w:cs="TH SarabunPSK"/>
          <w:sz w:val="28"/>
        </w:rPr>
        <w:t xml:space="preserve">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</w:t>
      </w:r>
      <w:r w:rsidRPr="00413C0F">
        <w:rPr>
          <w:rFonts w:ascii="TH SarabunPSK" w:hAnsi="TH SarabunPSK" w:cs="TH SarabunPSK"/>
          <w:sz w:val="28"/>
          <w:cs/>
        </w:rPr>
        <w:t xml:space="preserve">= ร้อยละ </w:t>
      </w:r>
      <w:r>
        <w:rPr>
          <w:rFonts w:ascii="TH SarabunPSK" w:hAnsi="TH SarabunPSK" w:cs="TH SarabunPSK"/>
          <w:sz w:val="28"/>
        </w:rPr>
        <w:t>80</w:t>
      </w:r>
      <w:r w:rsidRPr="00413C0F">
        <w:rPr>
          <w:rFonts w:ascii="TH SarabunPSK" w:hAnsi="TH SarabunPSK" w:cs="TH SarabunPSK"/>
          <w:sz w:val="28"/>
          <w:cs/>
        </w:rPr>
        <w:t xml:space="preserve"> ขึ้นไป</w:t>
      </w:r>
    </w:p>
    <w:p w:rsidR="00792E3B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792E3B" w:rsidRDefault="00792E3B" w:rsidP="00792E3B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>1</w:t>
      </w:r>
      <w:r w:rsidRPr="00F525F4">
        <w:rPr>
          <w:rFonts w:ascii="TH SarabunPSK" w:hAnsi="TH SarabunPSK" w:cs="TH SarabunPSK"/>
          <w:sz w:val="28"/>
          <w:cs/>
        </w:rPr>
        <w:t>. 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792E3B" w:rsidRPr="008C7E11" w:rsidRDefault="00792E3B" w:rsidP="00792E3B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792E3B" w:rsidRPr="008C7E11" w:rsidRDefault="003D11AF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1" type="#_x0000_t202" style="position:absolute;left:0;text-align:left;margin-left:289.45pt;margin-top:2.4pt;width:45.6pt;height:19.4pt;z-index:251707392;mso-width-relative:margin;mso-height-relative:margin" filled="f" stroked="f" strokecolor="white">
            <v:textbox style="mso-next-textbox:#_x0000_s1061">
              <w:txbxContent>
                <w:p w:rsidR="00683FEA" w:rsidRPr="008C7E11" w:rsidRDefault="00683FEA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683FEA" w:rsidRPr="00871F2A" w:rsidRDefault="00683FEA" w:rsidP="00792E3B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792E3B">
        <w:rPr>
          <w:rFonts w:ascii="TH SarabunPSK" w:hAnsi="TH SarabunPSK" w:cs="TH SarabunPSK" w:hint="cs"/>
          <w:sz w:val="28"/>
          <w:cs/>
        </w:rPr>
        <w:tab/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แ</w:t>
      </w:r>
      <w:r w:rsidR="00792E3B">
        <w:rPr>
          <w:rFonts w:ascii="TH SarabunPSK" w:hAnsi="TH SarabunPSK" w:cs="TH SarabunPSK" w:hint="cs"/>
          <w:sz w:val="28"/>
          <w:cs/>
        </w:rPr>
        <w:t>ละผู้สำเร็จการศึกษาระดับปริญญาเอก</w:t>
      </w:r>
    </w:p>
    <w:p w:rsidR="00792E3B" w:rsidRPr="008C7E11" w:rsidRDefault="003D11AF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62" style="position:absolute;left:0;text-align:left;z-index:251708416" from="88.6pt,.05pt" to="282.65pt,.05pt"/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792E3B" w:rsidRPr="008C7E11">
        <w:rPr>
          <w:rFonts w:ascii="TH SarabunPSK" w:hAnsi="TH SarabunPSK" w:cs="TH SarabunPSK"/>
          <w:sz w:val="28"/>
          <w:cs/>
        </w:rPr>
        <w:t>จำนวน</w:t>
      </w:r>
      <w:r w:rsidR="00792E3B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>2</w:t>
      </w:r>
      <w:r w:rsidRPr="008C7E11">
        <w:rPr>
          <w:rFonts w:ascii="TH SarabunPSK" w:hAnsi="TH SarabunPSK" w:cs="TH SarabunPSK"/>
          <w:sz w:val="28"/>
          <w:cs/>
        </w:rPr>
        <w:t xml:space="preserve">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 w:rsidR="003D11AF">
        <w:rPr>
          <w:rFonts w:ascii="TH SarabunPSK" w:hAnsi="TH SarabunPSK" w:cs="TH SarabunPSK"/>
          <w:noProof/>
          <w:sz w:val="28"/>
        </w:rPr>
        <w:pict>
          <v:shape id="_x0000_s1064" type="#_x0000_t202" style="position:absolute;margin-left:281.05pt;margin-top:18.4pt;width:38.6pt;height:19.65pt;z-index:251710464;mso-position-horizontal-relative:text;mso-position-vertical-relative:text;mso-width-relative:margin;mso-height-relative:margin" filled="f" stroked="f" strokecolor="white">
            <v:textbox style="mso-next-textbox:#_x0000_s1064">
              <w:txbxContent>
                <w:p w:rsidR="00683FEA" w:rsidRPr="008C7E11" w:rsidRDefault="00683FEA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683FEA" w:rsidRPr="008C7E11" w:rsidRDefault="00683FEA" w:rsidP="00792E3B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Pr="008C7E11">
        <w:rPr>
          <w:rFonts w:ascii="TH SarabunPSK" w:hAnsi="TH SarabunPSK" w:cs="TH SarabunPSK"/>
          <w:sz w:val="28"/>
          <w:cs/>
        </w:rPr>
        <w:t>=</w:t>
      </w:r>
      <w:r w:rsidRPr="008C7E11">
        <w:rPr>
          <w:rFonts w:ascii="TH SarabunPSK" w:hAnsi="TH SarabunPSK" w:cs="TH SarabunPSK" w:hint="cs"/>
          <w:sz w:val="28"/>
          <w:cs/>
        </w:rPr>
        <w:t xml:space="preserve">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8C7E11">
        <w:rPr>
          <w:rFonts w:ascii="TH SarabunPSK" w:hAnsi="TH SarabunPSK" w:cs="TH SarabunPSK"/>
          <w:sz w:val="28"/>
          <w:cs/>
        </w:rPr>
        <w:t>ร้อยละของผลรวมถ่วงน้ำหนักของผลงานที่ตีพิมพ์</w:t>
      </w:r>
      <w:r w:rsidRPr="008C7E11">
        <w:rPr>
          <w:rFonts w:ascii="TH SarabunPSK" w:hAnsi="TH SarabunPSK" w:cs="TH SarabunPSK" w:hint="cs"/>
          <w:sz w:val="28"/>
          <w:cs/>
        </w:rPr>
        <w:br/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/>
          <w:sz w:val="28"/>
          <w:cs/>
        </w:rPr>
        <w:t>หรือเผยแพร่</w:t>
      </w:r>
      <w:r w:rsidRPr="008C7E11">
        <w:rPr>
          <w:rFonts w:ascii="TH SarabunPSK" w:hAnsi="TH SarabunPSK" w:cs="TH SarabunPSK" w:hint="cs"/>
          <w:sz w:val="28"/>
          <w:cs/>
        </w:rPr>
        <w:t>ต่อผู้สำเร็จการศึกษา</w:t>
      </w:r>
    </w:p>
    <w:p w:rsidR="00792E3B" w:rsidRPr="008C7E11" w:rsidRDefault="003D11AF" w:rsidP="00792E3B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63" type="#_x0000_t32" style="position:absolute;margin-left:128.6pt;margin-top:.7pt;width:142.75pt;height:0;z-index:251709440" o:connectortype="straight"/>
        </w:pict>
      </w:r>
      <w:r w:rsidR="00792E3B" w:rsidRPr="008C7E11">
        <w:rPr>
          <w:rFonts w:ascii="TH SarabunPSK" w:hAnsi="TH SarabunPSK" w:cs="TH SarabunPSK"/>
          <w:sz w:val="28"/>
          <w:szCs w:val="28"/>
          <w:cs/>
        </w:rPr>
        <w:t xml:space="preserve">              </w:t>
      </w:r>
      <w:r w:rsidR="00792E3B">
        <w:rPr>
          <w:rFonts w:ascii="TH SarabunPSK" w:hAnsi="TH SarabunPSK" w:cs="TH SarabunPSK"/>
          <w:sz w:val="28"/>
          <w:szCs w:val="28"/>
          <w:cs/>
        </w:rPr>
        <w:t xml:space="preserve">                   </w:t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792E3B">
        <w:rPr>
          <w:rFonts w:ascii="TH SarabunPSK" w:hAnsi="TH SarabunPSK" w:cs="TH SarabunPSK"/>
          <w:sz w:val="28"/>
          <w:szCs w:val="28"/>
        </w:rPr>
        <w:t>8</w:t>
      </w:r>
      <w:r w:rsidR="00792E3B" w:rsidRPr="008C7E11">
        <w:rPr>
          <w:rFonts w:ascii="TH SarabunPSK" w:hAnsi="TH SarabunPSK" w:cs="TH SarabunPSK"/>
          <w:sz w:val="28"/>
          <w:szCs w:val="28"/>
        </w:rPr>
        <w:t>0</w:t>
      </w:r>
    </w:p>
    <w:p w:rsidR="00792E3B" w:rsidRPr="00A07B1F" w:rsidRDefault="00792E3B" w:rsidP="006E235F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709"/>
        <w:gridCol w:w="850"/>
        <w:gridCol w:w="1134"/>
      </w:tblGrid>
      <w:tr w:rsidR="00792E3B" w:rsidRPr="004672B5" w:rsidTr="006E235F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35F" w:rsidRDefault="006E235F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</w:t>
            </w:r>
          </w:p>
          <w:p w:rsidR="00792E3B" w:rsidRPr="00891087" w:rsidRDefault="00792E3B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35F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</w:t>
            </w:r>
          </w:p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ถ่วงน้ำหนัก</w:t>
            </w:r>
          </w:p>
        </w:tc>
      </w:tr>
      <w:tr w:rsidR="006E235F" w:rsidRPr="004672B5" w:rsidTr="006E235F">
        <w:trPr>
          <w:trHeight w:val="29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6E235F" w:rsidRPr="004672B5" w:rsidRDefault="006E235F" w:rsidP="006E235F">
            <w:pPr>
              <w:rPr>
                <w:rFonts w:ascii="TH SarabunPSK" w:hAnsi="TH SarabunPSK" w:cs="TH SarabunPSK"/>
                <w:sz w:val="28"/>
              </w:rPr>
            </w:pPr>
            <w:r w:rsidRPr="006E235F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ผลงานทางวิชาการของนักศึกษา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และผู้สำเร็จการศึกษา</w:t>
            </w:r>
            <w:r w:rsidRPr="006E235F">
              <w:rPr>
                <w:rFonts w:ascii="TH SarabunPSK" w:hAnsi="TH SarabunPSK" w:cs="TH SarabunPSK"/>
                <w:b/>
                <w:bCs/>
                <w:color w:val="000099"/>
                <w:sz w:val="28"/>
                <w:u w:val="single"/>
                <w:cs/>
              </w:rPr>
              <w:t>ระดับปริญญาเอก</w:t>
            </w:r>
            <w:r w:rsidRPr="006E235F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</w:p>
        </w:tc>
      </w:tr>
      <w:tr w:rsidR="00792E3B" w:rsidRPr="004672B5" w:rsidTr="006E235F">
        <w:trPr>
          <w:trHeight w:val="2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1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D9" w:rsidRPr="004672B5" w:rsidRDefault="00792E3B" w:rsidP="006E235F">
            <w:pPr>
              <w:tabs>
                <w:tab w:val="left" w:pos="275"/>
              </w:tabs>
              <w:rPr>
                <w:rFonts w:ascii="TH SarabunPSK" w:eastAsiaTheme="minorHAnsi" w:hAnsi="TH SarabunPSK" w:cs="TH SarabunPSK" w:hint="cs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="006E235F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="006E235F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</w:t>
            </w:r>
            <w:r w:rsidR="006E235F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 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D9" w:rsidRPr="004672B5" w:rsidRDefault="00792E3B" w:rsidP="006E235F">
            <w:pPr>
              <w:rPr>
                <w:rFonts w:ascii="TH SarabunPSK" w:hAnsi="TH SarabunPSK" w:cs="TH SarabunPSK" w:hint="cs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rPr>
                <w:rFonts w:ascii="TH SarabunPSK" w:eastAsia="CordiaNew-Bold" w:hAnsi="TH SarabunPSK" w:cs="TH SarabunPSK" w:hint="cs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E235F" w:rsidRPr="004672B5" w:rsidTr="006E235F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E235F" w:rsidRPr="004672B5" w:rsidRDefault="006E235F" w:rsidP="006E235F">
            <w:pPr>
              <w:jc w:val="center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F531F2">
        <w:trPr>
          <w:trHeight w:val="6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792E3B" w:rsidRPr="004672B5" w:rsidRDefault="00F531F2" w:rsidP="00F531F2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 w:rsidRPr="00F531F2">
              <w:rPr>
                <w:rFonts w:ascii="TH SarabunPSK" w:eastAsia="CordiaNew-Bold" w:hAnsi="TH SarabunPSK" w:cs="TH SarabunPSK"/>
                <w:b/>
                <w:bCs/>
                <w:color w:val="000099"/>
                <w:sz w:val="28"/>
                <w:cs/>
              </w:rPr>
              <w:t>ระดับปริญญา</w:t>
            </w:r>
            <w:r w:rsidRPr="00F531F2">
              <w:rPr>
                <w:rFonts w:ascii="TH SarabunPSK" w:eastAsia="CordiaNew-Bold" w:hAnsi="TH SarabunPSK" w:cs="TH SarabunPSK" w:hint="cs"/>
                <w:b/>
                <w:bCs/>
                <w:color w:val="000099"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3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42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531F2" w:rsidRPr="004672B5" w:rsidTr="00F531F2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F531F2" w:rsidRPr="00B71AA2" w:rsidRDefault="00F531F2" w:rsidP="00F531F2">
            <w:pPr>
              <w:jc w:val="center"/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531F2" w:rsidRPr="004672B5" w:rsidRDefault="00F531F2" w:rsidP="00F531F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F531F2" w:rsidRPr="00E21C18" w:rsidRDefault="00F531F2" w:rsidP="00F531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531F2" w:rsidRPr="001F0E1A" w:rsidRDefault="00F531F2" w:rsidP="00F531F2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ระดับปริญญาเอก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6E235F">
        <w:trPr>
          <w:trHeight w:val="16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. จำนวนผู้สำเร็จการศึกษา</w:t>
            </w:r>
            <w:r w:rsidRPr="00F531F2">
              <w:rPr>
                <w:rFonts w:ascii="TH SarabunPSK" w:hAnsi="TH SarabunPSK" w:cs="TH SarabunPSK"/>
                <w:b/>
                <w:bCs/>
                <w:color w:val="000099"/>
                <w:sz w:val="28"/>
                <w:cs/>
              </w:rPr>
              <w:t>ระดับปริญญา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เอก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ระดับปริญญาเอก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6E235F">
        <w:trPr>
          <w:trHeight w:val="1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F531F2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92E3B" w:rsidRPr="00DF1643" w:rsidRDefault="00792E3B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D21956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4D384E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rPr>
          <w:trHeight w:val="2230"/>
        </w:trPr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21956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3D11AF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683FEA" w:rsidRPr="009B4E68" w:rsidRDefault="00683FEA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3D11AF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3D11AF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683FEA" w:rsidRPr="009B4E68" w:rsidRDefault="00683FEA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3D11AF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D3CF3" w:rsidRDefault="00140EDE" w:rsidP="00785052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3D11AF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683FEA" w:rsidRPr="009B4E68" w:rsidRDefault="00683FEA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3D11AF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3D11AF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683FEA" w:rsidRPr="009B4E68" w:rsidRDefault="00683FEA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3D11AF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0A5121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3D11AF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683FEA" w:rsidRPr="009B4E68" w:rsidRDefault="00683FEA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3D11AF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3D11AF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683FEA" w:rsidRPr="009B4E68" w:rsidRDefault="00683FEA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3D11AF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D21956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6732E8" w:rsidRPr="004672B5" w:rsidTr="00CF5190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</w:tcPr>
          <w:p w:rsidR="006732E8" w:rsidRPr="00AB1963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2E8" w:rsidRPr="00AB1963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AB1963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274F8D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6732E8" w:rsidRPr="004672B5" w:rsidTr="00CF5190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732E8" w:rsidRPr="0094100B" w:rsidRDefault="006732E8" w:rsidP="00CF5190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6732E8" w:rsidRPr="004672B5" w:rsidRDefault="006732E8" w:rsidP="00CF5190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6732E8" w:rsidRPr="004672B5" w:rsidRDefault="006732E8" w:rsidP="00CF5190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vAlign w:val="center"/>
          </w:tcPr>
          <w:p w:rsidR="006732E8" w:rsidRPr="00A4657A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6732E8" w:rsidRPr="00A4657A" w:rsidRDefault="006732E8" w:rsidP="00CF5190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732E8" w:rsidRPr="00E21C18" w:rsidRDefault="006732E8" w:rsidP="00CF5190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732E8" w:rsidRPr="00AC2AE8" w:rsidRDefault="006732E8" w:rsidP="00CF5190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CF5190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732E8" w:rsidRPr="00E21C18" w:rsidRDefault="006732E8" w:rsidP="00CF5190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6732E8" w:rsidRPr="00F02E39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6732E8" w:rsidRPr="00F02E39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F02E39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6732E8" w:rsidRPr="00F02E39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732E8" w:rsidRPr="004672B5" w:rsidTr="00CF5190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EC45C1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6732E8" w:rsidRPr="00F02E39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6732E8" w:rsidRPr="00F02E39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732E8" w:rsidRPr="004672B5" w:rsidTr="00CF5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E8" w:rsidRPr="00F02E39" w:rsidRDefault="006732E8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2E8" w:rsidRPr="00F02E39" w:rsidRDefault="006732E8" w:rsidP="00CF51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bookmarkStart w:id="0" w:name="_GoBack"/>
      <w:bookmarkEnd w:id="0"/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F4340" w:rsidRPr="00DF1643" w:rsidRDefault="00AF4340" w:rsidP="0078505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rPr>
                <w:szCs w:val="22"/>
                <w:cs/>
              </w:rPr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E30724" w:rsidRPr="004D3BB2" w:rsidRDefault="00E30724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lastRenderedPageBreak/>
        <w:t xml:space="preserve">(4) </w:t>
      </w:r>
      <w:r w:rsidRPr="00AF4340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>จำนวน</w:t>
      </w:r>
      <w:r w:rsidRPr="00AF4340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cs/>
        </w:rPr>
        <w:t>อาจารย์ประจำ</w:t>
      </w:r>
      <w:r w:rsidRPr="00E30724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u w:val="single"/>
          <w:cs/>
        </w:rPr>
        <w:t>หลักสูตรปริญญาเอก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E30724" w:rsidRDefault="00E30724" w:rsidP="00E30724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p w:rsidR="00E30724" w:rsidRPr="00AF4340" w:rsidRDefault="00E30724" w:rsidP="00E30724">
      <w:pPr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เกณฑ์การประเมิน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กลุ่มสาขาวิชาวิทยาศาสตร์และเทคโนโลยี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2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 xml:space="preserve">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ind w:left="567"/>
        <w:rPr>
          <w:rFonts w:ascii="TH SarabunPSK" w:hAnsi="TH SarabunPSK" w:cs="TH SarabunPSK"/>
          <w:b/>
          <w:bCs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กลุ่มสาขาวิชาวิทยาศาสตร์สุขภาพ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3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 xml:space="preserve">0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E2687B">
        <w:rPr>
          <w:rFonts w:ascii="TH SarabunPSK" w:hAnsi="TH SarabunPSK" w:cs="TH SarabunPSK"/>
          <w:b/>
          <w:bCs/>
          <w:sz w:val="28"/>
          <w:cs/>
        </w:rPr>
        <w:t>กลุ่มสาขาวิชา</w:t>
      </w:r>
      <w:r w:rsidRPr="00AF4340">
        <w:rPr>
          <w:rFonts w:ascii="TH SarabunPSK" w:hAnsi="TH SarabunPSK" w:cs="TH SarabunPSK"/>
          <w:b/>
          <w:bCs/>
          <w:sz w:val="28"/>
          <w:cs/>
        </w:rPr>
        <w:t>มนุษยศาสตร์และสังคมศาสตร์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0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 xml:space="preserve">25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AF4340">
        <w:rPr>
          <w:rFonts w:ascii="TH SarabunPSK" w:eastAsiaTheme="minorEastAsia" w:hAnsi="TH SarabunPSK" w:cs="TH SarabunPSK"/>
          <w:b/>
          <w:bCs/>
          <w:sz w:val="28"/>
          <w:cs/>
          <w:lang w:eastAsia="ja-JP"/>
        </w:rPr>
        <w:t>:</w:t>
      </w:r>
    </w:p>
    <w:p w:rsidR="00E30724" w:rsidRPr="004B1358" w:rsidRDefault="00E30724" w:rsidP="00E30724">
      <w:pPr>
        <w:ind w:firstLine="7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br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</w:t>
      </w:r>
    </w:p>
    <w:p w:rsidR="00E30724" w:rsidRPr="00AF4340" w:rsidRDefault="003D11AF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6" type="#_x0000_t32" style="position:absolute;left:0;text-align:left;margin-left:179.5pt;margin-top:15pt;width:136.45pt;height:0;z-index:251712512" o:connectortype="straight"/>
        </w:pic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จำนวนบทความที่ได้รับการอ้างอิง                        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จำนวนอาจารย์ประจำหลักสูตรทั้งหมด </w:t>
      </w:r>
    </w:p>
    <w:p w:rsidR="00E30724" w:rsidRPr="00AF4340" w:rsidRDefault="00E30724" w:rsidP="00E30724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. แปลงค่าที่คำนวณได้ในข้อ 1 เทียบกับคะแนนเต็ม 5</w:t>
      </w:r>
    </w:p>
    <w:p w:rsidR="00E30724" w:rsidRPr="004B1358" w:rsidRDefault="003D11AF" w:rsidP="00E30724">
      <w:pPr>
        <w:spacing w:before="1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8" type="#_x0000_t202" style="position:absolute;margin-left:351.9pt;margin-top:18.8pt;width:22.8pt;height:19.4pt;z-index:251714560;mso-width-relative:margin;mso-height-relative:margin" filled="f" stroked="f" strokecolor="white">
            <v:textbox style="mso-next-textbox:#_x0000_s1068">
              <w:txbxContent>
                <w:p w:rsidR="00683FEA" w:rsidRPr="007C4B61" w:rsidRDefault="00683FEA" w:rsidP="00E3072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7C4B61">
                    <w:rPr>
                      <w:rFonts w:ascii="TH SarabunPSK" w:hAnsi="TH SarabunPSK" w:cs="TH SarabunPSK"/>
                      <w:szCs w:val="24"/>
                    </w:rPr>
                    <w:t>X 5</w:t>
                  </w:r>
                </w:p>
                <w:p w:rsidR="00683FEA" w:rsidRPr="00871F2A" w:rsidRDefault="00683FEA" w:rsidP="00E30724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อัตราส่วนจำนวนบทความที่ได้รับการอ้างอิง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cs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ต่อจำนวนอาจารย์ประจำหลักสูตร              </w:t>
      </w:r>
    </w:p>
    <w:p w:rsidR="00E30724" w:rsidRDefault="003D11AF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7" type="#_x0000_t32" style="position:absolute;margin-left:191.4pt;margin-top:.6pt;width:139.05pt;height:0;z-index:251713536" o:connectortype="straight"/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</w:p>
    <w:p w:rsidR="00E30724" w:rsidRDefault="00E3072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ที่กำหนดให้เป็นคะแนนเต็ม 5</w:t>
      </w:r>
    </w:p>
    <w:p w:rsidR="00E30724" w:rsidRPr="00A07B1F" w:rsidRDefault="00E30724" w:rsidP="00E30724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E30724" w:rsidRPr="004672B5" w:rsidTr="00183971">
        <w:trPr>
          <w:trHeight w:val="435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รวมจำนวน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บทความที่ได้รับการอ้างอิง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>5.   อัตราส่วนจำนวนบทความที่ได้รับการอ้างอิงต่อจำนวนอาจารย์ประจำหลักสูตร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536A30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 xml:space="preserve">6.   </w:t>
            </w:r>
            <w:r w:rsidRPr="00AF4340"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E30724">
        <w:trPr>
          <w:trHeight w:val="4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24" w:rsidRPr="00536A30" w:rsidRDefault="00E30724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E30724" w:rsidRPr="00992AC4" w:rsidRDefault="00E30724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(4)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E30724" w:rsidRPr="008167C8" w:rsidTr="00183971">
        <w:tc>
          <w:tcPr>
            <w:tcW w:w="2410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30724" w:rsidRPr="008167C8" w:rsidTr="00183971">
        <w:tc>
          <w:tcPr>
            <w:tcW w:w="2410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0724" w:rsidRDefault="00E30724" w:rsidP="001839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30724" w:rsidRPr="008167C8" w:rsidRDefault="00E30724" w:rsidP="00183971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30724" w:rsidRPr="008167C8" w:rsidTr="00183971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rPr>
                <w:szCs w:val="22"/>
                <w:cs/>
              </w:rPr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D21956" w:rsidRPr="004D384E" w:rsidTr="00542E66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D21956" w:rsidP="00CE1B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CE1B4B"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683FEA" w:rsidRPr="005B2105" w:rsidTr="00683FEA">
        <w:trPr>
          <w:trHeight w:val="360"/>
        </w:trPr>
        <w:tc>
          <w:tcPr>
            <w:tcW w:w="2943" w:type="dxa"/>
          </w:tcPr>
          <w:p w:rsidR="00683FEA" w:rsidRPr="0087062E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</w:tcPr>
          <w:p w:rsidR="00683FEA" w:rsidRPr="005B2105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683FEA" w:rsidRPr="00AD43C7" w:rsidTr="00683FEA">
        <w:trPr>
          <w:trHeight w:val="12543"/>
        </w:trPr>
        <w:tc>
          <w:tcPr>
            <w:tcW w:w="2943" w:type="dxa"/>
          </w:tcPr>
          <w:p w:rsidR="00683FEA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683FEA" w:rsidRPr="00B81A93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Pr="00EC7190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683FEA" w:rsidRPr="008E76B8" w:rsidRDefault="00683FEA" w:rsidP="00683FEA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683FEA" w:rsidRPr="0087509D" w:rsidTr="00683FEA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B11587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มคอ.7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6C7EA6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683FEA" w:rsidRPr="008E76B8" w:rsidRDefault="00683FEA" w:rsidP="00683FE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D21956" w:rsidRPr="00DF1643" w:rsidRDefault="00D21956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506B98" w:rsidRPr="00C7662A" w:rsidTr="00506B98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8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506B98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8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21956" w:rsidRPr="0042340C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506B98" w:rsidRDefault="00D21956" w:rsidP="00506B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6"/>
          <w:szCs w:val="36"/>
        </w:rPr>
      </w:pPr>
    </w:p>
    <w:sectPr w:rsidR="00D21956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AF" w:rsidRDefault="003D11AF" w:rsidP="00116507">
      <w:r>
        <w:separator/>
      </w:r>
    </w:p>
  </w:endnote>
  <w:endnote w:type="continuationSeparator" w:id="0">
    <w:p w:rsidR="003D11AF" w:rsidRDefault="003D11AF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AF" w:rsidRDefault="003D11AF" w:rsidP="00116507">
      <w:r>
        <w:separator/>
      </w:r>
    </w:p>
  </w:footnote>
  <w:footnote w:type="continuationSeparator" w:id="0">
    <w:p w:rsidR="003D11AF" w:rsidRDefault="003D11AF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683FEA" w:rsidRDefault="003D11AF">
        <w:pPr>
          <w:pStyle w:val="a5"/>
          <w:jc w:val="center"/>
        </w:pPr>
      </w:p>
    </w:sdtContent>
  </w:sdt>
  <w:p w:rsidR="00683FEA" w:rsidRDefault="00683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EA" w:rsidRDefault="00683FEA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6732E8" w:rsidRPr="006732E8">
      <w:rPr>
        <w:rFonts w:ascii="TH SarabunPSK" w:hAnsi="TH SarabunPSK" w:cs="TH SarabunPSK"/>
        <w:noProof/>
        <w:sz w:val="28"/>
        <w:lang w:val="th-TH"/>
      </w:rPr>
      <w:t>24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683FEA" w:rsidRDefault="00683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3AEC"/>
    <w:multiLevelType w:val="hybridMultilevel"/>
    <w:tmpl w:val="D9E6DCD8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94BA1"/>
    <w:multiLevelType w:val="hybridMultilevel"/>
    <w:tmpl w:val="0E566E6C"/>
    <w:lvl w:ilvl="0" w:tplc="5E30CE26">
      <w:start w:val="4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6DA7"/>
    <w:rsid w:val="00087FAE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83971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56E05"/>
    <w:rsid w:val="0027424C"/>
    <w:rsid w:val="00274F8D"/>
    <w:rsid w:val="002757E6"/>
    <w:rsid w:val="00276E66"/>
    <w:rsid w:val="002909E5"/>
    <w:rsid w:val="00293713"/>
    <w:rsid w:val="00295379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24A0"/>
    <w:rsid w:val="00385681"/>
    <w:rsid w:val="003911BD"/>
    <w:rsid w:val="003924C7"/>
    <w:rsid w:val="003931FA"/>
    <w:rsid w:val="00393A3B"/>
    <w:rsid w:val="003961B0"/>
    <w:rsid w:val="003973D6"/>
    <w:rsid w:val="003B0FAA"/>
    <w:rsid w:val="003B757E"/>
    <w:rsid w:val="003C3ECC"/>
    <w:rsid w:val="003D11AF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0D7C"/>
    <w:rsid w:val="0047175B"/>
    <w:rsid w:val="004A5746"/>
    <w:rsid w:val="004B1358"/>
    <w:rsid w:val="004B58B9"/>
    <w:rsid w:val="004B6C2C"/>
    <w:rsid w:val="004C14F5"/>
    <w:rsid w:val="004C1B8C"/>
    <w:rsid w:val="004D3BB2"/>
    <w:rsid w:val="004D73D6"/>
    <w:rsid w:val="004E0FD9"/>
    <w:rsid w:val="004E3153"/>
    <w:rsid w:val="00506B98"/>
    <w:rsid w:val="005072DE"/>
    <w:rsid w:val="00514108"/>
    <w:rsid w:val="00514720"/>
    <w:rsid w:val="00515485"/>
    <w:rsid w:val="00526926"/>
    <w:rsid w:val="00527514"/>
    <w:rsid w:val="00527F74"/>
    <w:rsid w:val="00536A30"/>
    <w:rsid w:val="00540828"/>
    <w:rsid w:val="00542E66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0A3C"/>
    <w:rsid w:val="005F323B"/>
    <w:rsid w:val="005F36F5"/>
    <w:rsid w:val="0060529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732E8"/>
    <w:rsid w:val="0068072F"/>
    <w:rsid w:val="00683FEA"/>
    <w:rsid w:val="0068604B"/>
    <w:rsid w:val="0069594E"/>
    <w:rsid w:val="00695A7F"/>
    <w:rsid w:val="006C2DC4"/>
    <w:rsid w:val="006C63D3"/>
    <w:rsid w:val="006C6639"/>
    <w:rsid w:val="006D50DB"/>
    <w:rsid w:val="006E0DE6"/>
    <w:rsid w:val="006E235F"/>
    <w:rsid w:val="006E31EB"/>
    <w:rsid w:val="006E550F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36FBF"/>
    <w:rsid w:val="0074115B"/>
    <w:rsid w:val="007437BB"/>
    <w:rsid w:val="00757DA5"/>
    <w:rsid w:val="0076253E"/>
    <w:rsid w:val="00770AFC"/>
    <w:rsid w:val="00773D2C"/>
    <w:rsid w:val="00781E46"/>
    <w:rsid w:val="00783E70"/>
    <w:rsid w:val="00785052"/>
    <w:rsid w:val="00792E3B"/>
    <w:rsid w:val="007A0EA1"/>
    <w:rsid w:val="007A76D1"/>
    <w:rsid w:val="007B275F"/>
    <w:rsid w:val="007B2EA3"/>
    <w:rsid w:val="007B5202"/>
    <w:rsid w:val="007B6AC4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07E94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360C0"/>
    <w:rsid w:val="00A437C3"/>
    <w:rsid w:val="00A45739"/>
    <w:rsid w:val="00A519DA"/>
    <w:rsid w:val="00A624B6"/>
    <w:rsid w:val="00A63626"/>
    <w:rsid w:val="00A64135"/>
    <w:rsid w:val="00A7688A"/>
    <w:rsid w:val="00A84315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0B9A"/>
    <w:rsid w:val="00BE2F80"/>
    <w:rsid w:val="00BE3200"/>
    <w:rsid w:val="00BE5BA2"/>
    <w:rsid w:val="00C12DAC"/>
    <w:rsid w:val="00C239A7"/>
    <w:rsid w:val="00C27F51"/>
    <w:rsid w:val="00C30761"/>
    <w:rsid w:val="00C40FF1"/>
    <w:rsid w:val="00C47557"/>
    <w:rsid w:val="00C6091E"/>
    <w:rsid w:val="00C60D16"/>
    <w:rsid w:val="00C87683"/>
    <w:rsid w:val="00CB2A2C"/>
    <w:rsid w:val="00CC3402"/>
    <w:rsid w:val="00CD110C"/>
    <w:rsid w:val="00CE06D6"/>
    <w:rsid w:val="00CE1B4B"/>
    <w:rsid w:val="00CE4A71"/>
    <w:rsid w:val="00CF2525"/>
    <w:rsid w:val="00CF6788"/>
    <w:rsid w:val="00D21956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A1A43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2687B"/>
    <w:rsid w:val="00E30724"/>
    <w:rsid w:val="00E34B8B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E3B08"/>
    <w:rsid w:val="00EF4FCE"/>
    <w:rsid w:val="00F00556"/>
    <w:rsid w:val="00F040BA"/>
    <w:rsid w:val="00F07102"/>
    <w:rsid w:val="00F12978"/>
    <w:rsid w:val="00F34972"/>
    <w:rsid w:val="00F531F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B75D5"/>
    <w:rsid w:val="00FC1E5D"/>
    <w:rsid w:val="00FC4522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6"/>
        <o:r id="V:Rule2" type="connector" idref="#_x0000_s1042"/>
        <o:r id="V:Rule3" type="connector" idref="#_x0000_s1066"/>
        <o:r id="V:Rule4" type="connector" idref="#_x0000_s1030"/>
        <o:r id="V:Rule5" type="connector" idref="#_x0000_s1047"/>
        <o:r id="V:Rule6" type="connector" idref="#_x0000_s1052"/>
        <o:r id="V:Rule7" type="connector" idref="#_x0000_s1067"/>
        <o:r id="V:Rule8" type="connector" idref="#_x0000_s1051"/>
        <o:r id="V:Rule9" type="connector" idref="#_x0000_s1043"/>
        <o:r id="V:Rule10" type="connector" idref="#_x0000_s1063"/>
      </o:rules>
    </o:shapelayout>
  </w:shapeDefaults>
  <w:decimalSymbol w:val="."/>
  <w:listSeparator w:val=","/>
  <w14:docId w14:val="71453123"/>
  <w15:docId w15:val="{670A94C3-528F-476C-97E7-8BBCCFB7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AEEE5-4FA6-498E-903E-5D512F51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38</Pages>
  <Words>16699</Words>
  <Characters>95190</Characters>
  <Application>Microsoft Office Word</Application>
  <DocSecurity>0</DocSecurity>
  <Lines>793</Lines>
  <Paragraphs>223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21</cp:revision>
  <cp:lastPrinted>2016-06-26T07:34:00Z</cp:lastPrinted>
  <dcterms:created xsi:type="dcterms:W3CDTF">2016-06-26T08:09:00Z</dcterms:created>
  <dcterms:modified xsi:type="dcterms:W3CDTF">2019-05-17T04:19:00Z</dcterms:modified>
</cp:coreProperties>
</file>