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A0C" w:rsidRDefault="00350FE8">
      <w:pPr>
        <w:spacing w:after="0" w:line="240" w:lineRule="auto"/>
        <w:rPr>
          <w:rFonts w:ascii="TH SarabunPSK" w:eastAsia="TH SarabunPSK" w:hAnsi="TH SarabunPSK" w:cs="TH SarabunPSK"/>
          <w:b/>
          <w:bCs/>
          <w:sz w:val="32"/>
          <w:szCs w:val="32"/>
          <w:cs/>
          <w:lang w:bidi="th"/>
        </w:rPr>
      </w:pPr>
      <w:bookmarkStart w:id="0" w:name="_GoBack"/>
      <w:bookmarkEnd w:id="0"/>
      <w:r>
        <w:rPr>
          <w:rFonts w:ascii="TH SarabunPSK" w:eastAsia="TH SarabunPSK" w:hAnsi="TH SarabunPSK" w:cs="TH SarabunPSK"/>
          <w:b/>
          <w:bCs/>
          <w:sz w:val="32"/>
          <w:szCs w:val="32"/>
          <w:cs/>
          <w:lang w:bidi="th"/>
        </w:rPr>
        <w:t>3</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 xml:space="preserve">2 </w:t>
      </w:r>
      <w:r>
        <w:rPr>
          <w:rFonts w:ascii="TH SarabunPSK" w:eastAsia="TH SarabunPSK" w:hAnsi="TH SarabunPSK" w:cs="TH SarabunPSK"/>
          <w:b/>
          <w:bCs/>
          <w:sz w:val="32"/>
          <w:szCs w:val="32"/>
          <w:cs/>
        </w:rPr>
        <w:t>จุดเด่น จุดที่ควรพัฒนา และแผนพัฒนา</w:t>
      </w:r>
    </w:p>
    <w:tbl>
      <w:tblPr>
        <w:tblStyle w:val="a5"/>
        <w:tblW w:w="139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3"/>
        <w:gridCol w:w="3493"/>
        <w:gridCol w:w="2429"/>
        <w:gridCol w:w="2396"/>
        <w:gridCol w:w="2163"/>
        <w:gridCol w:w="2781"/>
      </w:tblGrid>
      <w:tr w:rsidR="00082A0C">
        <w:trPr>
          <w:tblHeader/>
          <w:jc w:val="center"/>
        </w:trPr>
        <w:tc>
          <w:tcPr>
            <w:tcW w:w="683" w:type="dxa"/>
            <w:shd w:val="clear" w:color="auto" w:fill="AEAAAA"/>
            <w:vAlign w:val="center"/>
          </w:tcPr>
          <w:p w:rsidR="00082A0C" w:rsidRDefault="00350FE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เกณฑ์</w:t>
            </w:r>
          </w:p>
        </w:tc>
        <w:tc>
          <w:tcPr>
            <w:tcW w:w="3493" w:type="dxa"/>
            <w:shd w:val="clear" w:color="auto" w:fill="AEAAAA"/>
            <w:vAlign w:val="center"/>
          </w:tcPr>
          <w:p w:rsidR="00082A0C" w:rsidRDefault="00350FE8">
            <w:pPr>
              <w:jc w:val="both"/>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รายละเอียด</w:t>
            </w:r>
          </w:p>
        </w:tc>
        <w:tc>
          <w:tcPr>
            <w:tcW w:w="2429" w:type="dxa"/>
            <w:shd w:val="clear" w:color="auto" w:fill="AEAAAA"/>
            <w:vAlign w:val="center"/>
          </w:tcPr>
          <w:p w:rsidR="00082A0C" w:rsidRDefault="00350FE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จุดเด่น</w:t>
            </w:r>
          </w:p>
          <w:p w:rsidR="00082A0C" w:rsidRDefault="00350FE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w:t>
            </w:r>
            <w:r>
              <w:rPr>
                <w:rFonts w:ascii="TH SarabunPSK" w:eastAsia="TH SarabunPSK" w:hAnsi="TH SarabunPSK" w:cs="TH SarabunPSK"/>
                <w:b/>
                <w:bCs/>
                <w:sz w:val="28"/>
                <w:szCs w:val="28"/>
                <w:cs/>
                <w:lang w:bidi="th"/>
              </w:rPr>
              <w:t>Strenght</w:t>
            </w:r>
            <w:r>
              <w:rPr>
                <w:rFonts w:ascii="TH SarabunPSK" w:eastAsia="TH SarabunPSK" w:hAnsi="TH SarabunPSK" w:cs="TH SarabunPSK"/>
                <w:b/>
                <w:bCs/>
                <w:sz w:val="28"/>
                <w:szCs w:val="28"/>
                <w:lang w:bidi="th-TH"/>
              </w:rPr>
              <w:t xml:space="preserve">) </w:t>
            </w:r>
          </w:p>
        </w:tc>
        <w:tc>
          <w:tcPr>
            <w:tcW w:w="2396" w:type="dxa"/>
            <w:shd w:val="clear" w:color="auto" w:fill="AEAAAA"/>
            <w:vAlign w:val="center"/>
          </w:tcPr>
          <w:p w:rsidR="00082A0C" w:rsidRDefault="00350FE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จุดที่ควรพัฒนา</w:t>
            </w:r>
          </w:p>
          <w:p w:rsidR="00082A0C" w:rsidRDefault="00350FE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w:t>
            </w:r>
            <w:r>
              <w:rPr>
                <w:rFonts w:ascii="TH SarabunPSK" w:eastAsia="TH SarabunPSK" w:hAnsi="TH SarabunPSK" w:cs="TH SarabunPSK"/>
                <w:b/>
                <w:bCs/>
                <w:sz w:val="28"/>
                <w:szCs w:val="28"/>
                <w:cs/>
                <w:lang w:bidi="th"/>
              </w:rPr>
              <w:t>AFI</w:t>
            </w:r>
            <w:r>
              <w:rPr>
                <w:rFonts w:ascii="TH SarabunPSK" w:eastAsia="TH SarabunPSK" w:hAnsi="TH SarabunPSK" w:cs="TH SarabunPSK"/>
                <w:b/>
                <w:bCs/>
                <w:sz w:val="28"/>
                <w:szCs w:val="28"/>
                <w:lang w:bidi="th-TH"/>
              </w:rPr>
              <w:t xml:space="preserve">) </w:t>
            </w:r>
          </w:p>
        </w:tc>
        <w:tc>
          <w:tcPr>
            <w:tcW w:w="2163" w:type="dxa"/>
            <w:shd w:val="clear" w:color="auto" w:fill="AEAAAA"/>
            <w:vAlign w:val="center"/>
          </w:tcPr>
          <w:p w:rsidR="00082A0C" w:rsidRDefault="00350FE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ผลการดำเนินงานปีการศึกษา .............</w:t>
            </w:r>
          </w:p>
        </w:tc>
        <w:tc>
          <w:tcPr>
            <w:tcW w:w="2781" w:type="dxa"/>
            <w:shd w:val="clear" w:color="auto" w:fill="AEAAAA"/>
          </w:tcPr>
          <w:p w:rsidR="00082A0C" w:rsidRDefault="00350FE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 xml:space="preserve">แผนการดำเนินการปรับปรุงและพัฒนา </w:t>
            </w:r>
          </w:p>
        </w:tc>
      </w:tr>
      <w:tr w:rsidR="00082A0C">
        <w:trPr>
          <w:jc w:val="center"/>
        </w:trPr>
        <w:tc>
          <w:tcPr>
            <w:tcW w:w="11164" w:type="dxa"/>
            <w:gridSpan w:val="5"/>
            <w:shd w:val="clear" w:color="auto" w:fill="EDEDED"/>
          </w:tcPr>
          <w:p w:rsidR="00082A0C" w:rsidRDefault="00350FE8">
            <w:pPr>
              <w:numPr>
                <w:ilvl w:val="0"/>
                <w:numId w:val="1"/>
              </w:numPr>
              <w:pBdr>
                <w:top w:val="nil"/>
                <w:left w:val="nil"/>
                <w:bottom w:val="nil"/>
                <w:right w:val="nil"/>
                <w:between w:val="nil"/>
              </w:pBdr>
              <w:jc w:val="both"/>
              <w:rPr>
                <w:rFonts w:ascii="TH SarabunPSK" w:eastAsia="TH SarabunPSK" w:hAnsi="TH SarabunPSK" w:cs="TH SarabunPSK"/>
                <w:b/>
                <w:bCs/>
                <w:color w:val="000000"/>
                <w:sz w:val="28"/>
                <w:szCs w:val="28"/>
                <w:cs/>
                <w:lang w:bidi="th"/>
              </w:rPr>
            </w:pPr>
            <w:r>
              <w:rPr>
                <w:rFonts w:ascii="TH SarabunPSK" w:eastAsia="TH SarabunPSK" w:hAnsi="TH SarabunPSK" w:cs="TH SarabunPSK"/>
                <w:b/>
                <w:bCs/>
                <w:color w:val="000000"/>
                <w:sz w:val="28"/>
                <w:szCs w:val="28"/>
                <w:cs/>
                <w:lang w:bidi="th"/>
              </w:rPr>
              <w:t>Expected Learning Outcomes</w:t>
            </w:r>
          </w:p>
        </w:tc>
        <w:tc>
          <w:tcPr>
            <w:tcW w:w="2781" w:type="dxa"/>
            <w:shd w:val="clear" w:color="auto" w:fill="EDEDED"/>
          </w:tcPr>
          <w:p w:rsidR="00082A0C" w:rsidRDefault="00082A0C">
            <w:pPr>
              <w:pBdr>
                <w:top w:val="nil"/>
                <w:left w:val="nil"/>
                <w:bottom w:val="nil"/>
                <w:right w:val="nil"/>
                <w:between w:val="nil"/>
              </w:pBdr>
              <w:ind w:left="720"/>
              <w:jc w:val="both"/>
              <w:rPr>
                <w:rFonts w:ascii="TH SarabunPSK" w:eastAsia="TH SarabunPSK" w:hAnsi="TH SarabunPSK" w:cs="TH SarabunPSK"/>
                <w:b/>
                <w:bCs/>
                <w:color w:val="000000"/>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expected learning outcomes are appropriately formulated in accordance with an established learning taxonomy, are aligned to the vision and mission of the university, and are known to all stakeholders</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w:t>
            </w:r>
            <w:r>
              <w:rPr>
                <w:rFonts w:ascii="TH SarabunPSK" w:eastAsia="TH SarabunPSK" w:hAnsi="TH SarabunPSK" w:cs="TH SarabunPSK"/>
                <w:sz w:val="28"/>
                <w:szCs w:val="28"/>
                <w:cs/>
                <w:lang w:bidi="th"/>
              </w:rPr>
              <w:t xml:space="preserve"> show that the expected learning outcomes for all courses are appropriately formulated and are aligned to the expected learning outcomes of the programme</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programme to show that the expected learning outcomes consist of both generic outcomes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related to written and oral communication</w:t>
            </w:r>
            <w:r>
              <w:rPr>
                <w:rFonts w:ascii="TH SarabunPSK" w:eastAsia="TH SarabunPSK" w:hAnsi="TH SarabunPSK" w:cs="TH SarabunPSK"/>
                <w:sz w:val="28"/>
                <w:szCs w:val="28"/>
              </w:rPr>
              <w:t>, problem solving, information technology, teambuilding skills, etc</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 xml:space="preserve">and subject specific outcomes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related to knowledge an</w:t>
            </w:r>
            <w:r>
              <w:rPr>
                <w:rFonts w:ascii="TH SarabunPSK" w:eastAsia="TH SarabunPSK" w:hAnsi="TH SarabunPSK" w:cs="TH SarabunPSK"/>
                <w:sz w:val="28"/>
                <w:szCs w:val="28"/>
                <w:cs/>
                <w:lang w:bidi="th"/>
              </w:rPr>
              <w:t>d skills of the study discipline</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requirements of the stakeholders</w:t>
            </w:r>
            <w:r>
              <w:rPr>
                <w:rFonts w:ascii="TH SarabunPSK" w:eastAsia="TH SarabunPSK" w:hAnsi="TH SarabunPSK" w:cs="TH SarabunPSK"/>
                <w:sz w:val="28"/>
                <w:szCs w:val="28"/>
              </w:rPr>
              <w:t>, especially the external stakeholders, are gathered, and that these are reflected in the expected learning outcomes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expected learning outcomes are achieved by the students by the time they graduate</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11164" w:type="dxa"/>
            <w:gridSpan w:val="5"/>
            <w:shd w:val="clear" w:color="auto" w:fill="EDEDED"/>
          </w:tcPr>
          <w:p w:rsidR="00082A0C" w:rsidRDefault="00350FE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2</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Programme Structure and Content</w:t>
            </w:r>
          </w:p>
        </w:tc>
        <w:tc>
          <w:tcPr>
            <w:tcW w:w="2781" w:type="dxa"/>
            <w:shd w:val="clear" w:color="auto" w:fill="EDEDED"/>
          </w:tcPr>
          <w:p w:rsidR="00082A0C" w:rsidRDefault="00082A0C">
            <w:pPr>
              <w:rPr>
                <w:rFonts w:ascii="TH SarabunPSK" w:eastAsia="TH SarabunPSK" w:hAnsi="TH SarabunPSK" w:cs="TH SarabunPSK"/>
                <w:b/>
                <w:bCs/>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specifications of the programme and all its courses are shown to be comprehensive</w:t>
            </w:r>
            <w:r>
              <w:rPr>
                <w:rFonts w:ascii="TH SarabunPSK" w:eastAsia="TH SarabunPSK" w:hAnsi="TH SarabunPSK" w:cs="TH SarabunPSK"/>
                <w:sz w:val="28"/>
                <w:szCs w:val="28"/>
              </w:rPr>
              <w:t>,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w:t>
            </w:r>
            <w:r>
              <w:rPr>
                <w:rFonts w:ascii="TH SarabunPSK" w:eastAsia="TH SarabunPSK" w:hAnsi="TH SarabunPSK" w:cs="TH SarabunPSK"/>
                <w:sz w:val="28"/>
                <w:szCs w:val="28"/>
              </w:rPr>
              <w:t>, and made available and communicated to all stakeholders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design of the curriculum is shown to be constructively aligned with achieving the expec</w:t>
            </w:r>
            <w:r>
              <w:rPr>
                <w:rFonts w:ascii="TH SarabunPSK" w:eastAsia="TH SarabunPSK" w:hAnsi="TH SarabunPSK" w:cs="TH SarabunPSK"/>
                <w:sz w:val="28"/>
                <w:szCs w:val="28"/>
                <w:cs/>
                <w:lang w:bidi="th"/>
              </w:rPr>
              <w:t>ted learning outcomes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design of the curriculum is shown to include feedback from </w:t>
            </w:r>
            <w:r>
              <w:rPr>
                <w:rFonts w:ascii="TH SarabunPSK" w:eastAsia="TH SarabunPSK" w:hAnsi="TH SarabunPSK" w:cs="TH SarabunPSK"/>
                <w:sz w:val="28"/>
                <w:szCs w:val="28"/>
                <w:cs/>
                <w:lang w:bidi="th"/>
              </w:rPr>
              <w:lastRenderedPageBreak/>
              <w:t>stakeholders</w:t>
            </w:r>
            <w:r>
              <w:rPr>
                <w:rFonts w:ascii="TH SarabunPSK" w:eastAsia="TH SarabunPSK" w:hAnsi="TH SarabunPSK" w:cs="TH SarabunPSK"/>
                <w:sz w:val="28"/>
                <w:szCs w:val="28"/>
              </w:rPr>
              <w:t>, especially external stakeholders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lastRenderedPageBreak/>
              <w:t>2</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4</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contribution made by each course in achieving the expected learning outcomes is shown to be clear</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curriculum to show that all its courses are logically structured</w:t>
            </w:r>
            <w:r>
              <w:rPr>
                <w:rFonts w:ascii="TH SarabunPSK" w:eastAsia="TH SarabunPSK" w:hAnsi="TH SarabunPSK" w:cs="TH SarabunPSK"/>
                <w:sz w:val="28"/>
                <w:szCs w:val="28"/>
              </w:rPr>
              <w:t xml:space="preserve">, properly sequenced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progression from basic to intermediate to specialised courses</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 and are integrated</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curriculum to have option</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for students to pursue major and</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or minor specialisations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t>2</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7</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its curriculum is reviewed periodically following an established procedure and that it remains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 and relevant to indust</w:t>
            </w:r>
            <w:r>
              <w:rPr>
                <w:rFonts w:ascii="TH SarabunPSK" w:eastAsia="TH SarabunPSK" w:hAnsi="TH SarabunPSK" w:cs="TH SarabunPSK"/>
                <w:sz w:val="28"/>
                <w:szCs w:val="28"/>
                <w:cs/>
                <w:lang w:bidi="th"/>
              </w:rPr>
              <w:t>ry</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11164" w:type="dxa"/>
            <w:gridSpan w:val="5"/>
            <w:shd w:val="clear" w:color="auto" w:fill="EDEDED"/>
          </w:tcPr>
          <w:p w:rsidR="00082A0C" w:rsidRDefault="00350FE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3</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Teaching and Learning Approach</w:t>
            </w:r>
          </w:p>
        </w:tc>
        <w:tc>
          <w:tcPr>
            <w:tcW w:w="2781" w:type="dxa"/>
            <w:shd w:val="clear" w:color="auto" w:fill="EDEDED"/>
          </w:tcPr>
          <w:p w:rsidR="00082A0C" w:rsidRDefault="00082A0C">
            <w:pPr>
              <w:rPr>
                <w:rFonts w:ascii="TH SarabunPSK" w:eastAsia="TH SarabunPSK" w:hAnsi="TH SarabunPSK" w:cs="TH SarabunPSK"/>
                <w:b/>
                <w:bCs/>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educational philosophy is shown to be articulated and communicated to all stakeholders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 xml:space="preserve">It is also shown to </w:t>
            </w:r>
            <w:r>
              <w:rPr>
                <w:rFonts w:ascii="TH SarabunPSK" w:eastAsia="TH SarabunPSK" w:hAnsi="TH SarabunPSK" w:cs="TH SarabunPSK"/>
                <w:sz w:val="28"/>
                <w:szCs w:val="28"/>
                <w:cs/>
                <w:lang w:bidi="th"/>
              </w:rPr>
              <w:lastRenderedPageBreak/>
              <w:t>be reflected in the teaching and learning activities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activities are shown to allow students to participate responsibly in the learning process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activities are shown to involve active learning by the students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activities are shown to promote learning</w:t>
            </w:r>
            <w:r>
              <w:rPr>
                <w:rFonts w:ascii="TH SarabunPSK" w:eastAsia="TH SarabunPSK" w:hAnsi="TH SarabunPSK" w:cs="TH SarabunPSK"/>
                <w:sz w:val="28"/>
                <w:szCs w:val="28"/>
              </w:rPr>
              <w:t>, learning how to learn, and instilling in students a commitment for life</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 xml:space="preserve">long learning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e</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g</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commitment to critical inquiry</w:t>
            </w:r>
            <w:r>
              <w:rPr>
                <w:rFonts w:ascii="TH SarabunPSK" w:eastAsia="TH SarabunPSK" w:hAnsi="TH SarabunPSK" w:cs="TH SarabunPSK"/>
                <w:sz w:val="28"/>
                <w:szCs w:val="28"/>
              </w:rPr>
              <w:t>, information</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processing skills, and a willingness to experiment w</w:t>
            </w:r>
            <w:r>
              <w:rPr>
                <w:rFonts w:ascii="TH SarabunPSK" w:eastAsia="TH SarabunPSK" w:hAnsi="TH SarabunPSK" w:cs="TH SarabunPSK"/>
                <w:sz w:val="28"/>
                <w:szCs w:val="28"/>
                <w:cs/>
                <w:lang w:bidi="th"/>
              </w:rPr>
              <w:t>ith new ideas and practices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t>3</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5</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activities are shown to inculcate in students</w:t>
            </w:r>
            <w:r>
              <w:rPr>
                <w:rFonts w:ascii="TH SarabunPSK" w:eastAsia="TH SarabunPSK" w:hAnsi="TH SarabunPSK" w:cs="TH SarabunPSK"/>
                <w:sz w:val="28"/>
                <w:szCs w:val="28"/>
              </w:rPr>
              <w:t>, new ideas, creative thought, innovation, and an entrepreneurial mindset</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processes are shown to be continuous</w:t>
            </w:r>
            <w:r>
              <w:rPr>
                <w:rFonts w:ascii="TH SarabunPSK" w:eastAsia="TH SarabunPSK" w:hAnsi="TH SarabunPSK" w:cs="TH SarabunPSK"/>
                <w:sz w:val="28"/>
                <w:szCs w:val="28"/>
                <w:cs/>
                <w:lang w:bidi="th"/>
              </w:rPr>
              <w:t>ly improved to ensure their relevance to the needs of industry and are aligned to the expected learning outcomes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11164" w:type="dxa"/>
            <w:gridSpan w:val="5"/>
            <w:shd w:val="clear" w:color="auto" w:fill="EDEDED"/>
          </w:tcPr>
          <w:p w:rsidR="00082A0C" w:rsidRDefault="00350FE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4</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Student Assessment</w:t>
            </w:r>
          </w:p>
        </w:tc>
        <w:tc>
          <w:tcPr>
            <w:tcW w:w="2781" w:type="dxa"/>
            <w:shd w:val="clear" w:color="auto" w:fill="EDEDED"/>
          </w:tcPr>
          <w:p w:rsidR="00082A0C" w:rsidRDefault="00082A0C">
            <w:pPr>
              <w:rPr>
                <w:rFonts w:ascii="TH SarabunPSK" w:eastAsia="TH SarabunPSK" w:hAnsi="TH SarabunPSK" w:cs="TH SarabunPSK"/>
                <w:b/>
                <w:bCs/>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t>4</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1</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A variety of assessment methods are shown to be used and are shown to be constructively aligned to achieving the expected learning outcomes and the teaching and learning objectives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assessment and assessment</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appeal policies are shown to be explicit</w:t>
            </w:r>
            <w:r>
              <w:rPr>
                <w:rFonts w:ascii="TH SarabunPSK" w:eastAsia="TH SarabunPSK" w:hAnsi="TH SarabunPSK" w:cs="TH SarabunPSK"/>
                <w:sz w:val="28"/>
                <w:szCs w:val="28"/>
              </w:rPr>
              <w:t>, communicated to students, and applied consistently</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assessment standards and procedures for student progression and degree completion, are shown to be explicit, communicat</w:t>
            </w:r>
            <w:r>
              <w:rPr>
                <w:rFonts w:ascii="TH SarabunPSK" w:eastAsia="TH SarabunPSK" w:hAnsi="TH SarabunPSK" w:cs="TH SarabunPSK"/>
                <w:sz w:val="28"/>
                <w:szCs w:val="28"/>
                <w:cs/>
                <w:lang w:bidi="th"/>
              </w:rPr>
              <w:t>ed to students</w:t>
            </w:r>
            <w:r>
              <w:rPr>
                <w:rFonts w:ascii="TH SarabunPSK" w:eastAsia="TH SarabunPSK" w:hAnsi="TH SarabunPSK" w:cs="TH SarabunPSK"/>
                <w:sz w:val="28"/>
                <w:szCs w:val="28"/>
              </w:rPr>
              <w:t>, and applied consistently</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assessments methods are shown to include rubrics</w:t>
            </w:r>
            <w:r>
              <w:rPr>
                <w:rFonts w:ascii="TH SarabunPSK" w:eastAsia="TH SarabunPSK" w:hAnsi="TH SarabunPSK" w:cs="TH SarabunPSK"/>
                <w:sz w:val="28"/>
                <w:szCs w:val="28"/>
              </w:rPr>
              <w:t xml:space="preserve">, marking schemes, timelines, and regulations, and these </w:t>
            </w:r>
            <w:r>
              <w:rPr>
                <w:rFonts w:ascii="TH SarabunPSK" w:eastAsia="TH SarabunPSK" w:hAnsi="TH SarabunPSK" w:cs="TH SarabunPSK"/>
                <w:sz w:val="28"/>
                <w:szCs w:val="28"/>
              </w:rPr>
              <w:lastRenderedPageBreak/>
              <w:t>are shown to ensure validity, reliability, and fairness in assessment</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lastRenderedPageBreak/>
              <w:t>4</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5</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assessment methods are shown to measure the achievement of the expected learning outcomes of the programme and its courses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t>4</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6</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Feedback of student assessment is shown to be provided in a timely manner</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7</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student assessment and its processes are shown to be continuously reviewed and improved to ensure their relevance to the needs of industry and alignment to the expected learning outcomes</w:t>
            </w:r>
            <w:r>
              <w:rPr>
                <w:rFonts w:ascii="TH SarabunPSK" w:eastAsia="TH SarabunPSK" w:hAnsi="TH SarabunPSK" w:cs="TH SarabunPSK"/>
                <w:sz w:val="28"/>
                <w:szCs w:val="28"/>
                <w:lang w:bidi="th-TH"/>
              </w:rPr>
              <w:t>.</w:t>
            </w:r>
          </w:p>
        </w:tc>
        <w:tc>
          <w:tcPr>
            <w:tcW w:w="2429" w:type="dxa"/>
          </w:tcPr>
          <w:p w:rsidR="00082A0C" w:rsidRDefault="00082A0C">
            <w:pPr>
              <w:jc w:val="center"/>
              <w:rPr>
                <w:rFonts w:ascii="TH SarabunPSK" w:eastAsia="TH SarabunPSK" w:hAnsi="TH SarabunPSK" w:cs="TH SarabunPSK"/>
                <w:sz w:val="28"/>
                <w:szCs w:val="28"/>
                <w:cs/>
                <w:lang w:bidi="th"/>
              </w:rPr>
            </w:pPr>
          </w:p>
        </w:tc>
        <w:tc>
          <w:tcPr>
            <w:tcW w:w="2396" w:type="dxa"/>
          </w:tcPr>
          <w:p w:rsidR="00082A0C" w:rsidRDefault="00082A0C">
            <w:pPr>
              <w:jc w:val="center"/>
              <w:rPr>
                <w:rFonts w:ascii="TH SarabunPSK" w:eastAsia="TH SarabunPSK" w:hAnsi="TH SarabunPSK" w:cs="TH SarabunPSK"/>
                <w:sz w:val="28"/>
                <w:szCs w:val="28"/>
                <w:cs/>
                <w:lang w:bidi="th"/>
              </w:rPr>
            </w:pPr>
          </w:p>
        </w:tc>
        <w:tc>
          <w:tcPr>
            <w:tcW w:w="2163" w:type="dxa"/>
          </w:tcPr>
          <w:p w:rsidR="00082A0C" w:rsidRDefault="00082A0C">
            <w:pPr>
              <w:jc w:val="center"/>
              <w:rPr>
                <w:rFonts w:ascii="TH SarabunPSK" w:eastAsia="TH SarabunPSK" w:hAnsi="TH SarabunPSK" w:cs="TH SarabunPSK"/>
                <w:sz w:val="28"/>
                <w:szCs w:val="28"/>
                <w:cs/>
                <w:lang w:bidi="th"/>
              </w:rPr>
            </w:pPr>
          </w:p>
        </w:tc>
        <w:tc>
          <w:tcPr>
            <w:tcW w:w="2781" w:type="dxa"/>
          </w:tcPr>
          <w:p w:rsidR="00082A0C" w:rsidRDefault="00082A0C">
            <w:pPr>
              <w:jc w:val="center"/>
              <w:rPr>
                <w:rFonts w:ascii="TH SarabunPSK" w:eastAsia="TH SarabunPSK" w:hAnsi="TH SarabunPSK" w:cs="TH SarabunPSK"/>
                <w:sz w:val="28"/>
                <w:szCs w:val="28"/>
                <w:cs/>
                <w:lang w:bidi="th"/>
              </w:rPr>
            </w:pPr>
          </w:p>
        </w:tc>
      </w:tr>
      <w:tr w:rsidR="00082A0C">
        <w:trPr>
          <w:jc w:val="center"/>
        </w:trPr>
        <w:tc>
          <w:tcPr>
            <w:tcW w:w="11164" w:type="dxa"/>
            <w:gridSpan w:val="5"/>
            <w:shd w:val="clear" w:color="auto" w:fill="EDEDED"/>
          </w:tcPr>
          <w:p w:rsidR="00082A0C" w:rsidRDefault="00350FE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5</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Academic Staff</w:t>
            </w:r>
          </w:p>
        </w:tc>
        <w:tc>
          <w:tcPr>
            <w:tcW w:w="2781" w:type="dxa"/>
            <w:shd w:val="clear" w:color="auto" w:fill="EDEDED"/>
          </w:tcPr>
          <w:p w:rsidR="00082A0C" w:rsidRDefault="00082A0C">
            <w:pPr>
              <w:rPr>
                <w:rFonts w:ascii="TH SarabunPSK" w:eastAsia="TH SarabunPSK" w:hAnsi="TH SarabunPSK" w:cs="TH SarabunPSK"/>
                <w:b/>
                <w:bCs/>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programme to show that academic staff planning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including succession</w:t>
            </w:r>
            <w:r>
              <w:rPr>
                <w:rFonts w:ascii="TH SarabunPSK" w:eastAsia="TH SarabunPSK" w:hAnsi="TH SarabunPSK" w:cs="TH SarabunPSK"/>
                <w:sz w:val="28"/>
                <w:szCs w:val="28"/>
              </w:rPr>
              <w:t>, promotion, re</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deployment</w:t>
            </w:r>
            <w:r>
              <w:rPr>
                <w:rFonts w:ascii="TH SarabunPSK" w:eastAsia="TH SarabunPSK" w:hAnsi="TH SarabunPSK" w:cs="TH SarabunPSK"/>
                <w:sz w:val="28"/>
                <w:szCs w:val="28"/>
              </w:rPr>
              <w:t>, termination, and retirement plans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 xml:space="preserve">is carried out to ensure that the quality and quantity </w:t>
            </w:r>
            <w:r>
              <w:rPr>
                <w:rFonts w:ascii="TH SarabunPSK" w:eastAsia="TH SarabunPSK" w:hAnsi="TH SarabunPSK" w:cs="TH SarabunPSK"/>
                <w:sz w:val="28"/>
                <w:szCs w:val="28"/>
                <w:cs/>
                <w:lang w:bidi="th"/>
              </w:rPr>
              <w:lastRenderedPageBreak/>
              <w:t>of the academic staff fulfil the needs for education, research, an</w:t>
            </w:r>
            <w:r>
              <w:rPr>
                <w:rFonts w:ascii="TH SarabunPSK" w:eastAsia="TH SarabunPSK" w:hAnsi="TH SarabunPSK" w:cs="TH SarabunPSK"/>
                <w:sz w:val="28"/>
                <w:szCs w:val="28"/>
                <w:cs/>
                <w:lang w:bidi="th"/>
              </w:rPr>
              <w:t>d service</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staff workload is measured and monitored to improve the quality of education</w:t>
            </w:r>
            <w:r>
              <w:rPr>
                <w:rFonts w:ascii="TH SarabunPSK" w:eastAsia="TH SarabunPSK" w:hAnsi="TH SarabunPSK" w:cs="TH SarabunPSK"/>
                <w:sz w:val="28"/>
                <w:szCs w:val="28"/>
              </w:rPr>
              <w:t>, research, and service</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t>5</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3</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competences of the academic staff are determined</w:t>
            </w:r>
            <w:r>
              <w:rPr>
                <w:rFonts w:ascii="TH SarabunPSK" w:eastAsia="TH SarabunPSK" w:hAnsi="TH SarabunPSK" w:cs="TH SarabunPSK"/>
                <w:sz w:val="28"/>
                <w:szCs w:val="28"/>
              </w:rPr>
              <w:t>, evaluated, and communicated</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duties allocated to the academic staff are appropriate to qualifications</w:t>
            </w:r>
            <w:r>
              <w:rPr>
                <w:rFonts w:ascii="TH SarabunPSK" w:eastAsia="TH SarabunPSK" w:hAnsi="TH SarabunPSK" w:cs="TH SarabunPSK"/>
                <w:sz w:val="28"/>
                <w:szCs w:val="28"/>
              </w:rPr>
              <w:t>, experience, and aptitude</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promotion of the academic staff is based on a merit system which accounts for teaching</w:t>
            </w:r>
            <w:r>
              <w:rPr>
                <w:rFonts w:ascii="TH SarabunPSK" w:eastAsia="TH SarabunPSK" w:hAnsi="TH SarabunPSK" w:cs="TH SarabunPSK"/>
                <w:sz w:val="28"/>
                <w:szCs w:val="28"/>
              </w:rPr>
              <w:t>, research, and service</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rights and privileges, benefits, roles and relationships, and accountabili</w:t>
            </w:r>
            <w:r>
              <w:rPr>
                <w:rFonts w:ascii="TH SarabunPSK" w:eastAsia="TH SarabunPSK" w:hAnsi="TH SarabunPSK" w:cs="TH SarabunPSK"/>
                <w:sz w:val="28"/>
                <w:szCs w:val="28"/>
                <w:cs/>
                <w:lang w:bidi="th"/>
              </w:rPr>
              <w:t>ty of the academic staff</w:t>
            </w:r>
            <w:r>
              <w:rPr>
                <w:rFonts w:ascii="TH SarabunPSK" w:eastAsia="TH SarabunPSK" w:hAnsi="TH SarabunPSK" w:cs="TH SarabunPSK"/>
                <w:sz w:val="28"/>
                <w:szCs w:val="28"/>
              </w:rPr>
              <w:t xml:space="preserve">, taking into </w:t>
            </w:r>
            <w:r>
              <w:rPr>
                <w:rFonts w:ascii="TH SarabunPSK" w:eastAsia="TH SarabunPSK" w:hAnsi="TH SarabunPSK" w:cs="TH SarabunPSK"/>
                <w:sz w:val="28"/>
                <w:szCs w:val="28"/>
              </w:rPr>
              <w:lastRenderedPageBreak/>
              <w:t>account professional ethics and their academic freedom, are well defined and understood</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lastRenderedPageBreak/>
              <w:t>5</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7</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training and developmental needs of the academic staff are systematically identified, and</w:t>
            </w:r>
            <w:r>
              <w:rPr>
                <w:rFonts w:ascii="TH SarabunPSK" w:eastAsia="TH SarabunPSK" w:hAnsi="TH SarabunPSK" w:cs="TH SarabunPSK"/>
                <w:sz w:val="28"/>
                <w:szCs w:val="28"/>
                <w:cs/>
                <w:lang w:bidi="th"/>
              </w:rPr>
              <w:t xml:space="preserve"> that appropriate training and development activities are implemented to fulfil the identified needs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t>5</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8</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performance management including reward and recognition is implemented to assess academic staff teaching and research quality</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11164" w:type="dxa"/>
            <w:gridSpan w:val="5"/>
            <w:shd w:val="clear" w:color="auto" w:fill="EDEDED"/>
          </w:tcPr>
          <w:p w:rsidR="00082A0C" w:rsidRDefault="00350FE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6</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rPr>
              <w:t>การบริการและการช่วยเหลือผู้เรียน (</w:t>
            </w:r>
            <w:r>
              <w:rPr>
                <w:rFonts w:ascii="TH SarabunPSK" w:eastAsia="TH SarabunPSK" w:hAnsi="TH SarabunPSK" w:cs="TH SarabunPSK"/>
                <w:b/>
                <w:bCs/>
                <w:sz w:val="28"/>
                <w:szCs w:val="28"/>
                <w:cs/>
                <w:lang w:bidi="th"/>
              </w:rPr>
              <w:t>Student Support Services</w:t>
            </w:r>
            <w:r>
              <w:rPr>
                <w:rFonts w:ascii="TH SarabunPSK" w:eastAsia="TH SarabunPSK" w:hAnsi="TH SarabunPSK" w:cs="TH SarabunPSK"/>
                <w:b/>
                <w:bCs/>
                <w:sz w:val="28"/>
                <w:szCs w:val="28"/>
                <w:lang w:bidi="th-TH"/>
              </w:rPr>
              <w:t>)</w:t>
            </w:r>
          </w:p>
        </w:tc>
        <w:tc>
          <w:tcPr>
            <w:tcW w:w="2781" w:type="dxa"/>
            <w:shd w:val="clear" w:color="auto" w:fill="EDEDED"/>
          </w:tcPr>
          <w:p w:rsidR="00082A0C" w:rsidRDefault="00082A0C">
            <w:pPr>
              <w:rPr>
                <w:rFonts w:ascii="TH SarabunPSK" w:eastAsia="TH SarabunPSK" w:hAnsi="TH SarabunPSK" w:cs="TH SarabunPSK"/>
                <w:b/>
                <w:bCs/>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6</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student intake policy</w:t>
            </w:r>
            <w:r>
              <w:rPr>
                <w:rFonts w:ascii="TH SarabunPSK" w:eastAsia="TH SarabunPSK" w:hAnsi="TH SarabunPSK" w:cs="TH SarabunPSK"/>
                <w:sz w:val="28"/>
                <w:szCs w:val="28"/>
              </w:rPr>
              <w:t>, admission criteria, and admission procedures to the programme are shown to be clearly defined, communicated, published, and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6</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Both short</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term and long</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term planning of academic and non</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lastRenderedPageBreak/>
              <w:t>academic support services</w:t>
            </w:r>
            <w:r>
              <w:rPr>
                <w:rFonts w:ascii="TH SarabunPSK" w:eastAsia="TH SarabunPSK" w:hAnsi="TH SarabunPSK" w:cs="TH SarabunPSK"/>
                <w:sz w:val="28"/>
                <w:szCs w:val="28"/>
                <w:cs/>
                <w:lang w:bidi="th"/>
              </w:rPr>
              <w:t xml:space="preserve"> are shown to be carried out to ensure sufficiency and quality of support services for teaching</w:t>
            </w:r>
            <w:r>
              <w:rPr>
                <w:rFonts w:ascii="TH SarabunPSK" w:eastAsia="TH SarabunPSK" w:hAnsi="TH SarabunPSK" w:cs="TH SarabunPSK"/>
                <w:sz w:val="28"/>
                <w:szCs w:val="28"/>
              </w:rPr>
              <w:t>, research, and community service</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lastRenderedPageBreak/>
              <w:t>6</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3</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An adequate system is shown to exist for student progress</w:t>
            </w:r>
            <w:r>
              <w:rPr>
                <w:rFonts w:ascii="TH SarabunPSK" w:eastAsia="TH SarabunPSK" w:hAnsi="TH SarabunPSK" w:cs="TH SarabunPSK"/>
                <w:sz w:val="28"/>
                <w:szCs w:val="28"/>
              </w:rPr>
              <w:t>, academic performance, and workload monitoring</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Student progress</w:t>
            </w:r>
            <w:r>
              <w:rPr>
                <w:rFonts w:ascii="TH SarabunPSK" w:eastAsia="TH SarabunPSK" w:hAnsi="TH SarabunPSK" w:cs="TH SarabunPSK"/>
                <w:sz w:val="28"/>
                <w:szCs w:val="28"/>
              </w:rPr>
              <w:t>, academic performance, and workload are shown to be systematically recorded and monitored</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Feedback to students and corrective action</w:t>
            </w:r>
            <w:r>
              <w:rPr>
                <w:rFonts w:ascii="TH SarabunPSK" w:eastAsia="TH SarabunPSK" w:hAnsi="TH SarabunPSK" w:cs="TH SarabunPSK"/>
                <w:sz w:val="28"/>
                <w:szCs w:val="28"/>
                <w:cs/>
                <w:lang w:bidi="th"/>
              </w:rPr>
              <w:t>s are made where necessary</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t>6</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4</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Co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curricular activities</w:t>
            </w:r>
            <w:r>
              <w:rPr>
                <w:rFonts w:ascii="TH SarabunPSK" w:eastAsia="TH SarabunPSK" w:hAnsi="TH SarabunPSK" w:cs="TH SarabunPSK"/>
                <w:sz w:val="28"/>
                <w:szCs w:val="28"/>
              </w:rPr>
              <w:t>, student competition, and other student support services are shown to be available to improve learning experience and employability</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6</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competences of the support staff rendering student services are shown to be identified for recruitment and deployment</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 xml:space="preserve">These competences are </w:t>
            </w:r>
            <w:r>
              <w:rPr>
                <w:rFonts w:ascii="TH SarabunPSK" w:eastAsia="TH SarabunPSK" w:hAnsi="TH SarabunPSK" w:cs="TH SarabunPSK"/>
                <w:sz w:val="28"/>
                <w:szCs w:val="28"/>
                <w:cs/>
                <w:lang w:bidi="th"/>
              </w:rPr>
              <w:lastRenderedPageBreak/>
              <w:t>shown to be evaluated to ensure their continued relevance to stakeholders needs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Roles and relationships are sh</w:t>
            </w:r>
            <w:r>
              <w:rPr>
                <w:rFonts w:ascii="TH SarabunPSK" w:eastAsia="TH SarabunPSK" w:hAnsi="TH SarabunPSK" w:cs="TH SarabunPSK"/>
                <w:sz w:val="28"/>
                <w:szCs w:val="28"/>
                <w:cs/>
                <w:lang w:bidi="th"/>
              </w:rPr>
              <w:t>own to be well</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defined to ensure smooth delivery of the services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lastRenderedPageBreak/>
              <w:t>6</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6</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Student support services are shown to be subjected to evaluation</w:t>
            </w:r>
            <w:r>
              <w:rPr>
                <w:rFonts w:ascii="TH SarabunPSK" w:eastAsia="TH SarabunPSK" w:hAnsi="TH SarabunPSK" w:cs="TH SarabunPSK"/>
                <w:sz w:val="28"/>
                <w:szCs w:val="28"/>
              </w:rPr>
              <w:t>, benchmarking, and enhancement</w:t>
            </w:r>
            <w:r>
              <w:rPr>
                <w:rFonts w:ascii="TH SarabunPSK" w:eastAsia="TH SarabunPSK" w:hAnsi="TH SarabunPSK" w:cs="TH SarabunPSK"/>
                <w:sz w:val="28"/>
                <w:szCs w:val="28"/>
                <w:lang w:bidi="th-TH"/>
              </w:rPr>
              <w:t>.</w:t>
            </w:r>
          </w:p>
          <w:p w:rsidR="00082A0C" w:rsidRDefault="00082A0C">
            <w:pPr>
              <w:rPr>
                <w:rFonts w:ascii="TH SarabunPSK" w:eastAsia="TH SarabunPSK" w:hAnsi="TH SarabunPSK" w:cs="TH SarabunPSK"/>
                <w:sz w:val="28"/>
                <w:szCs w:val="28"/>
                <w:cs/>
                <w:lang w:bidi="th"/>
              </w:rPr>
            </w:pPr>
          </w:p>
          <w:p w:rsidR="00082A0C" w:rsidRDefault="00082A0C">
            <w:pPr>
              <w:rPr>
                <w:rFonts w:ascii="TH SarabunPSK" w:eastAsia="TH SarabunPSK" w:hAnsi="TH SarabunPSK" w:cs="TH SarabunPSK"/>
                <w:sz w:val="28"/>
                <w:szCs w:val="28"/>
                <w:cs/>
                <w:lang w:bidi="th"/>
              </w:rPr>
            </w:pP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11164" w:type="dxa"/>
            <w:gridSpan w:val="5"/>
            <w:shd w:val="clear" w:color="auto" w:fill="EDEDED"/>
          </w:tcPr>
          <w:p w:rsidR="00082A0C" w:rsidRDefault="00350FE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7</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Facilities and Infrastructure</w:t>
            </w:r>
          </w:p>
        </w:tc>
        <w:tc>
          <w:tcPr>
            <w:tcW w:w="2781" w:type="dxa"/>
            <w:shd w:val="clear" w:color="auto" w:fill="EDEDED"/>
          </w:tcPr>
          <w:p w:rsidR="00082A0C" w:rsidRDefault="00082A0C">
            <w:pPr>
              <w:rPr>
                <w:rFonts w:ascii="TH SarabunPSK" w:eastAsia="TH SarabunPSK" w:hAnsi="TH SarabunPSK" w:cs="TH SarabunPSK"/>
                <w:b/>
                <w:bCs/>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physical resources to deliver the curriculum</w:t>
            </w:r>
            <w:r>
              <w:rPr>
                <w:rFonts w:ascii="TH SarabunPSK" w:eastAsia="TH SarabunPSK" w:hAnsi="TH SarabunPSK" w:cs="TH SarabunPSK"/>
                <w:sz w:val="28"/>
                <w:szCs w:val="28"/>
              </w:rPr>
              <w:t>, including equipment, material, and information technology, are shown to be sufficient</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laboratories and equipment are shown to be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w:t>
            </w:r>
            <w:r>
              <w:rPr>
                <w:rFonts w:ascii="TH SarabunPSK" w:eastAsia="TH SarabunPSK" w:hAnsi="TH SarabunPSK" w:cs="TH SarabunPSK"/>
                <w:sz w:val="28"/>
                <w:szCs w:val="28"/>
              </w:rPr>
              <w:t>, readily available, and effectively deployed</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A digital library is shown to be set</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up</w:t>
            </w:r>
            <w:r>
              <w:rPr>
                <w:rFonts w:ascii="TH SarabunPSK" w:eastAsia="TH SarabunPSK" w:hAnsi="TH SarabunPSK" w:cs="TH SarabunPSK"/>
                <w:sz w:val="28"/>
                <w:szCs w:val="28"/>
              </w:rPr>
              <w:t>, in keeping with progress in information and communication technology</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information technology systems are shown to be set up to meet the needs of staff and students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university is shown to provide a highly accessible computer and network infrastructure that enables the campus community to fully exploit information technology for teaching</w:t>
            </w:r>
            <w:r>
              <w:rPr>
                <w:rFonts w:ascii="TH SarabunPSK" w:eastAsia="TH SarabunPSK" w:hAnsi="TH SarabunPSK" w:cs="TH SarabunPSK"/>
                <w:sz w:val="28"/>
                <w:szCs w:val="28"/>
              </w:rPr>
              <w:t>, research, service, and administration</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environmental, health, an</w:t>
            </w:r>
            <w:r>
              <w:rPr>
                <w:rFonts w:ascii="TH SarabunPSK" w:eastAsia="TH SarabunPSK" w:hAnsi="TH SarabunPSK" w:cs="TH SarabunPSK"/>
                <w:sz w:val="28"/>
                <w:szCs w:val="28"/>
                <w:cs/>
                <w:lang w:bidi="th"/>
              </w:rPr>
              <w:t>d safety standards and access for people with special needs are shown to be defined and implemented</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7</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university is shown to provide a physical, social, and psychological environment that is conducive for education, research, and personal wellb</w:t>
            </w:r>
            <w:r>
              <w:rPr>
                <w:rFonts w:ascii="TH SarabunPSK" w:eastAsia="TH SarabunPSK" w:hAnsi="TH SarabunPSK" w:cs="TH SarabunPSK"/>
                <w:sz w:val="28"/>
                <w:szCs w:val="28"/>
                <w:cs/>
                <w:lang w:bidi="th"/>
              </w:rPr>
              <w:t>eing</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8</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competences of the support staff rendering services related to facilities are shown to be identified and </w:t>
            </w:r>
            <w:r>
              <w:rPr>
                <w:rFonts w:ascii="TH SarabunPSK" w:eastAsia="TH SarabunPSK" w:hAnsi="TH SarabunPSK" w:cs="TH SarabunPSK"/>
                <w:sz w:val="28"/>
                <w:szCs w:val="28"/>
                <w:cs/>
                <w:lang w:bidi="th"/>
              </w:rPr>
              <w:lastRenderedPageBreak/>
              <w:t>evaluated to ensure that their skills remain relevant to stakeholder needs</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lastRenderedPageBreak/>
              <w:t>7</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9</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quality of the facilities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library</w:t>
            </w:r>
            <w:r>
              <w:rPr>
                <w:rFonts w:ascii="TH SarabunPSK" w:eastAsia="TH SarabunPSK" w:hAnsi="TH SarabunPSK" w:cs="TH SarabunPSK"/>
                <w:sz w:val="28"/>
                <w:szCs w:val="28"/>
              </w:rPr>
              <w:t>, laboratory, IT, and student services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are shown to be subjected to evaluation and enhancement</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11164" w:type="dxa"/>
            <w:gridSpan w:val="5"/>
            <w:shd w:val="clear" w:color="auto" w:fill="EDEDED"/>
          </w:tcPr>
          <w:p w:rsidR="00082A0C" w:rsidRDefault="00350FE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8</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Output and Outcomes</w:t>
            </w:r>
          </w:p>
        </w:tc>
        <w:tc>
          <w:tcPr>
            <w:tcW w:w="2781" w:type="dxa"/>
            <w:shd w:val="clear" w:color="auto" w:fill="EDEDED"/>
          </w:tcPr>
          <w:p w:rsidR="00082A0C" w:rsidRDefault="00082A0C">
            <w:pPr>
              <w:rPr>
                <w:rFonts w:ascii="TH SarabunPSK" w:eastAsia="TH SarabunPSK" w:hAnsi="TH SarabunPSK" w:cs="TH SarabunPSK"/>
                <w:b/>
                <w:bCs/>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pass rate</w:t>
            </w:r>
            <w:r>
              <w:rPr>
                <w:rFonts w:ascii="TH SarabunPSK" w:eastAsia="TH SarabunPSK" w:hAnsi="TH SarabunPSK" w:cs="TH SarabunPSK"/>
                <w:sz w:val="28"/>
                <w:szCs w:val="28"/>
              </w:rPr>
              <w:t>, dropout rate, and average time to graduate are shown to be established, monitored, and benchmarked for improvement</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Employability as well as self</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employment</w:t>
            </w:r>
            <w:r>
              <w:rPr>
                <w:rFonts w:ascii="TH SarabunPSK" w:eastAsia="TH SarabunPSK" w:hAnsi="TH SarabunPSK" w:cs="TH SarabunPSK"/>
                <w:sz w:val="28"/>
                <w:szCs w:val="28"/>
              </w:rPr>
              <w:t>, entrepreneurship, and advancement to further studies, are shown to be established, monitored, and benchmarked for improvement</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Research and creative work output and activities carried out by the academic staff and students</w:t>
            </w:r>
            <w:r>
              <w:rPr>
                <w:rFonts w:ascii="TH SarabunPSK" w:eastAsia="TH SarabunPSK" w:hAnsi="TH SarabunPSK" w:cs="TH SarabunPSK"/>
                <w:sz w:val="28"/>
                <w:szCs w:val="28"/>
              </w:rPr>
              <w:t>, are shown to be established, monitored, and benchmarked for improvement</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Data are provided to show directly the achievement of the programme </w:t>
            </w:r>
            <w:r>
              <w:rPr>
                <w:rFonts w:ascii="TH SarabunPSK" w:eastAsia="TH SarabunPSK" w:hAnsi="TH SarabunPSK" w:cs="TH SarabunPSK"/>
                <w:sz w:val="28"/>
                <w:szCs w:val="28"/>
                <w:cs/>
                <w:lang w:bidi="th"/>
              </w:rPr>
              <w:lastRenderedPageBreak/>
              <w:t>outcomes,</w:t>
            </w:r>
            <w:r>
              <w:rPr>
                <w:rFonts w:ascii="TH SarabunPSK" w:eastAsia="TH SarabunPSK" w:hAnsi="TH SarabunPSK" w:cs="TH SarabunPSK"/>
                <w:sz w:val="28"/>
                <w:szCs w:val="28"/>
                <w:cs/>
                <w:lang w:bidi="th"/>
              </w:rPr>
              <w:t xml:space="preserve"> which are established and monitored</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r w:rsidR="00082A0C">
        <w:trPr>
          <w:jc w:val="center"/>
        </w:trPr>
        <w:tc>
          <w:tcPr>
            <w:tcW w:w="683" w:type="dxa"/>
          </w:tcPr>
          <w:p w:rsidR="00082A0C" w:rsidRDefault="00350FE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82A0C" w:rsidRDefault="00350FE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Satisfaction level of the various stakeholders are shown to be established</w:t>
            </w:r>
            <w:r>
              <w:rPr>
                <w:rFonts w:ascii="TH SarabunPSK" w:eastAsia="TH SarabunPSK" w:hAnsi="TH SarabunPSK" w:cs="TH SarabunPSK"/>
                <w:sz w:val="28"/>
                <w:szCs w:val="28"/>
              </w:rPr>
              <w:t>, monitored, and benchmarked for improvement</w:t>
            </w:r>
            <w:r>
              <w:rPr>
                <w:rFonts w:ascii="TH SarabunPSK" w:eastAsia="TH SarabunPSK" w:hAnsi="TH SarabunPSK" w:cs="TH SarabunPSK"/>
                <w:sz w:val="28"/>
                <w:szCs w:val="28"/>
                <w:lang w:bidi="th-TH"/>
              </w:rPr>
              <w:t>.</w:t>
            </w:r>
          </w:p>
        </w:tc>
        <w:tc>
          <w:tcPr>
            <w:tcW w:w="2429" w:type="dxa"/>
          </w:tcPr>
          <w:p w:rsidR="00082A0C" w:rsidRDefault="00082A0C">
            <w:pPr>
              <w:rPr>
                <w:rFonts w:ascii="TH SarabunPSK" w:eastAsia="TH SarabunPSK" w:hAnsi="TH SarabunPSK" w:cs="TH SarabunPSK"/>
                <w:sz w:val="28"/>
                <w:szCs w:val="28"/>
                <w:cs/>
                <w:lang w:bidi="th"/>
              </w:rPr>
            </w:pPr>
          </w:p>
        </w:tc>
        <w:tc>
          <w:tcPr>
            <w:tcW w:w="2396" w:type="dxa"/>
          </w:tcPr>
          <w:p w:rsidR="00082A0C" w:rsidRDefault="00082A0C">
            <w:pPr>
              <w:rPr>
                <w:rFonts w:ascii="TH SarabunPSK" w:eastAsia="TH SarabunPSK" w:hAnsi="TH SarabunPSK" w:cs="TH SarabunPSK"/>
                <w:sz w:val="28"/>
                <w:szCs w:val="28"/>
                <w:cs/>
                <w:lang w:bidi="th"/>
              </w:rPr>
            </w:pPr>
          </w:p>
        </w:tc>
        <w:tc>
          <w:tcPr>
            <w:tcW w:w="2163" w:type="dxa"/>
          </w:tcPr>
          <w:p w:rsidR="00082A0C" w:rsidRDefault="00082A0C">
            <w:pPr>
              <w:rPr>
                <w:rFonts w:ascii="TH SarabunPSK" w:eastAsia="TH SarabunPSK" w:hAnsi="TH SarabunPSK" w:cs="TH SarabunPSK"/>
                <w:sz w:val="28"/>
                <w:szCs w:val="28"/>
                <w:cs/>
                <w:lang w:bidi="th"/>
              </w:rPr>
            </w:pPr>
          </w:p>
        </w:tc>
        <w:tc>
          <w:tcPr>
            <w:tcW w:w="2781" w:type="dxa"/>
          </w:tcPr>
          <w:p w:rsidR="00082A0C" w:rsidRDefault="00082A0C">
            <w:pPr>
              <w:rPr>
                <w:rFonts w:ascii="TH SarabunPSK" w:eastAsia="TH SarabunPSK" w:hAnsi="TH SarabunPSK" w:cs="TH SarabunPSK"/>
                <w:sz w:val="28"/>
                <w:szCs w:val="28"/>
                <w:cs/>
                <w:lang w:bidi="th"/>
              </w:rPr>
            </w:pPr>
          </w:p>
        </w:tc>
      </w:tr>
    </w:tbl>
    <w:p w:rsidR="00082A0C" w:rsidRDefault="00082A0C">
      <w:pPr>
        <w:spacing w:after="0" w:line="240" w:lineRule="auto"/>
        <w:rPr>
          <w:rFonts w:ascii="TH SarabunPSK" w:eastAsia="TH SarabunPSK" w:hAnsi="TH SarabunPSK" w:cs="TH SarabunPSK"/>
          <w:sz w:val="32"/>
          <w:szCs w:val="32"/>
          <w:cs/>
          <w:lang w:bidi="th"/>
        </w:rPr>
      </w:pPr>
    </w:p>
    <w:p w:rsidR="00082A0C" w:rsidRDefault="00350FE8">
      <w:pPr>
        <w:spacing w:after="0" w:line="240" w:lineRule="auto"/>
        <w:rPr>
          <w:rFonts w:ascii="TH SarabunPSK" w:eastAsia="TH SarabunPSK" w:hAnsi="TH SarabunPSK" w:cs="TH SarabunPSK"/>
          <w:b/>
          <w:bCs/>
          <w:sz w:val="32"/>
          <w:szCs w:val="32"/>
          <w:cs/>
          <w:lang w:bidi="th"/>
        </w:rPr>
      </w:pPr>
      <w:r>
        <w:rPr>
          <w:rFonts w:ascii="TH SarabunPSK" w:eastAsia="TH SarabunPSK" w:hAnsi="TH SarabunPSK" w:cs="TH SarabunPSK"/>
          <w:b/>
          <w:bCs/>
          <w:sz w:val="32"/>
          <w:szCs w:val="32"/>
          <w:cs/>
        </w:rPr>
        <w:t>การดำเนินงานพัฒนาและปรับปรุงด้านอื่น ๆ (ระบุ )</w:t>
      </w:r>
    </w:p>
    <w:p w:rsidR="00082A0C" w:rsidRDefault="00350FE8">
      <w:pPr>
        <w:spacing w:after="0" w:line="240" w:lineRule="auto"/>
        <w:rPr>
          <w:rFonts w:ascii="TH SarabunPSK" w:eastAsia="TH SarabunPSK" w:hAnsi="TH SarabunPSK" w:cs="TH SarabunPSK"/>
          <w:sz w:val="32"/>
          <w:szCs w:val="32"/>
          <w:cs/>
          <w:lang w:bidi="th"/>
        </w:rPr>
      </w:pPr>
      <w:r>
        <w:rPr>
          <w:rFonts w:ascii="TH SarabunPSK" w:eastAsia="TH SarabunPSK" w:hAnsi="TH SarabunPSK" w:cs="TH SarabunPSK"/>
          <w:sz w:val="32"/>
          <w:szCs w:val="32"/>
          <w:cs/>
        </w:rPr>
        <w:t>................................................................................................................................................................................................................................................................</w:t>
      </w:r>
      <w:r>
        <w:rPr>
          <w:rFonts w:ascii="TH SarabunPSK" w:eastAsia="TH SarabunPSK" w:hAnsi="TH SarabunPSK" w:cs="TH SarabunPSK"/>
          <w:sz w:val="32"/>
          <w:szCs w:val="32"/>
          <w:cs/>
        </w:rPr>
        <w:t>................................................................................................................................................................................................................................................................</w:t>
      </w:r>
      <w:r>
        <w:rPr>
          <w:rFonts w:ascii="TH SarabunPSK" w:eastAsia="TH SarabunPSK" w:hAnsi="TH SarabunPSK" w:cs="TH SarabunPSK"/>
          <w:sz w:val="32"/>
          <w:szCs w:val="32"/>
          <w:cs/>
        </w:rPr>
        <w:t>.......................................................................................................................................................................................................................................................</w:t>
      </w:r>
    </w:p>
    <w:p w:rsidR="00082A0C" w:rsidRDefault="00350FE8">
      <w:pPr>
        <w:spacing w:after="0" w:line="240" w:lineRule="auto"/>
        <w:rPr>
          <w:rFonts w:ascii="TH SarabunPSK" w:eastAsia="TH SarabunPSK" w:hAnsi="TH SarabunPSK" w:cs="TH SarabunPSK"/>
          <w:sz w:val="32"/>
          <w:szCs w:val="32"/>
          <w:cs/>
          <w:lang w:bidi="th"/>
        </w:rPr>
      </w:pPr>
      <w:r>
        <w:rPr>
          <w:rFonts w:ascii="TH SarabunPSK" w:eastAsia="TH SarabunPSK" w:hAnsi="TH SarabunPSK" w:cs="TH SarabunPSK"/>
          <w:sz w:val="32"/>
          <w:szCs w:val="32"/>
          <w:cs/>
        </w:rPr>
        <w:t>........</w:t>
      </w:r>
      <w:r>
        <w:rPr>
          <w:rFonts w:ascii="TH SarabunPSK" w:eastAsia="TH SarabunPSK" w:hAnsi="TH SarabunPSK" w:cs="TH SarabunPSK"/>
          <w:sz w:val="32"/>
          <w:szCs w:val="32"/>
          <w:cs/>
        </w:rPr>
        <w:t>.....................................................................................................................................................................................................................................................</w:t>
      </w:r>
    </w:p>
    <w:p w:rsidR="00082A0C" w:rsidRDefault="00350FE8">
      <w:pPr>
        <w:spacing w:after="0" w:line="240" w:lineRule="auto"/>
        <w:rPr>
          <w:rFonts w:ascii="TH SarabunPSK" w:eastAsia="TH SarabunPSK" w:hAnsi="TH SarabunPSK" w:cs="TH SarabunPSK"/>
          <w:sz w:val="32"/>
          <w:szCs w:val="32"/>
          <w:cs/>
          <w:lang w:bidi="th"/>
        </w:rPr>
      </w:pPr>
      <w:r>
        <w:rPr>
          <w:rFonts w:ascii="TH SarabunPSK" w:eastAsia="TH SarabunPSK" w:hAnsi="TH SarabunPSK" w:cs="TH SarabunPSK"/>
          <w:sz w:val="32"/>
          <w:szCs w:val="32"/>
          <w:cs/>
        </w:rPr>
        <w:t>..........</w:t>
      </w:r>
      <w:r>
        <w:rPr>
          <w:rFonts w:ascii="TH SarabunPSK" w:eastAsia="TH SarabunPSK" w:hAnsi="TH SarabunPSK" w:cs="TH SarabunPSK"/>
          <w:sz w:val="32"/>
          <w:szCs w:val="32"/>
          <w:cs/>
        </w:rPr>
        <w:t>...................................................................................................................................................................................................................................................</w:t>
      </w:r>
    </w:p>
    <w:p w:rsidR="00082A0C" w:rsidRDefault="00082A0C">
      <w:pPr>
        <w:spacing w:after="0" w:line="240" w:lineRule="auto"/>
        <w:rPr>
          <w:rFonts w:ascii="TH SarabunPSK" w:eastAsia="TH SarabunPSK" w:hAnsi="TH SarabunPSK" w:cs="TH SarabunPSK"/>
          <w:sz w:val="32"/>
          <w:szCs w:val="32"/>
          <w:cs/>
          <w:lang w:bidi="th"/>
        </w:rPr>
      </w:pPr>
    </w:p>
    <w:sectPr w:rsidR="00082A0C">
      <w:headerReference w:type="default" r:id="rId8"/>
      <w:headerReference w:type="first" r:id="rId9"/>
      <w:pgSz w:w="15840" w:h="12240" w:orient="landscape"/>
      <w:pgMar w:top="1440" w:right="1440" w:bottom="1440" w:left="126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FE8" w:rsidRDefault="00350FE8">
      <w:pPr>
        <w:spacing w:after="0" w:line="240" w:lineRule="auto"/>
        <w:rPr>
          <w:cs/>
          <w:lang w:bidi="th"/>
        </w:rPr>
      </w:pPr>
      <w:r>
        <w:separator/>
      </w:r>
    </w:p>
  </w:endnote>
  <w:endnote w:type="continuationSeparator" w:id="0">
    <w:p w:rsidR="00350FE8" w:rsidRDefault="00350FE8">
      <w:pPr>
        <w:spacing w:after="0" w:line="240" w:lineRule="auto"/>
        <w:rPr>
          <w:cs/>
          <w:lang w:bidi="th"/>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94A641AD-A594-444B-9CD8-881F04E37E4A}"/>
    <w:embedItalic r:id="rId2" w:fontKey="{69F1E561-D512-47DA-A76A-370978BC2208}"/>
  </w:font>
  <w:font w:name="Cambria">
    <w:panose1 w:val="02040503050406030204"/>
    <w:charset w:val="00"/>
    <w:family w:val="roman"/>
    <w:pitch w:val="variable"/>
    <w:sig w:usb0="E00006FF" w:usb1="420024FF" w:usb2="02000000" w:usb3="00000000" w:csb0="0000019F" w:csb1="00000000"/>
    <w:embedRegular r:id="rId3" w:fontKey="{56FEE993-2E17-46B5-87E4-E566C059625C}"/>
    <w:embedBold r:id="rId4" w:fontKey="{8C471766-14F1-4762-BF37-828F2E0DC51B}"/>
    <w:embedItalic r:id="rId5" w:fontKey="{316DB0D1-B10F-4DDF-99F8-414B2D805E73}"/>
    <w:embedBoldItalic r:id="rId6" w:fontKey="{38D282C8-4EF8-4A95-B12F-3C39A9DACBFC}"/>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embedRegular r:id="rId7" w:fontKey="{E57F6134-C65C-4A0E-B51B-A09549EAEB95}"/>
    <w:embedBold r:id="rId8" w:fontKey="{D81ED6C7-851B-4764-BFCD-3B77918B71A2}"/>
  </w:font>
  <w:font w:name="Angsana New">
    <w:panose1 w:val="02020603050405020304"/>
    <w:charset w:val="00"/>
    <w:family w:val="roman"/>
    <w:pitch w:val="variable"/>
    <w:sig w:usb0="81000003" w:usb1="00000000" w:usb2="00000000" w:usb3="00000000" w:csb0="00010001" w:csb1="00000000"/>
    <w:embedRegular r:id="rId9" w:fontKey="{43FCD721-D4A2-47E3-BFC7-2606A4720383}"/>
  </w:font>
  <w:font w:name="TH Sarabun PSK">
    <w:altName w:val="Times New Roman"/>
    <w:charset w:val="00"/>
    <w:family w:val="auto"/>
    <w:pitch w:val="default"/>
  </w:font>
  <w:font w:name="Cordia New">
    <w:panose1 w:val="020B0304020202020204"/>
    <w:charset w:val="00"/>
    <w:family w:val="swiss"/>
    <w:pitch w:val="variable"/>
    <w:sig w:usb0="81000003" w:usb1="00000000" w:usb2="00000000" w:usb3="00000000" w:csb0="00010001" w:csb1="00000000"/>
    <w:embedRegular r:id="rId10" w:fontKey="{1B4635E0-7BB8-41E4-AE75-21B7B386CD7D}"/>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FE8" w:rsidRDefault="00350FE8">
      <w:pPr>
        <w:spacing w:after="0" w:line="240" w:lineRule="auto"/>
        <w:rPr>
          <w:cs/>
          <w:lang w:bidi="th"/>
        </w:rPr>
      </w:pPr>
      <w:r>
        <w:separator/>
      </w:r>
    </w:p>
  </w:footnote>
  <w:footnote w:type="continuationSeparator" w:id="0">
    <w:p w:rsidR="00350FE8" w:rsidRDefault="00350FE8">
      <w:pPr>
        <w:spacing w:after="0" w:line="240" w:lineRule="auto"/>
        <w:rPr>
          <w:cs/>
          <w:lang w:bidi="th"/>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A0C" w:rsidRDefault="00350FE8">
    <w:pPr>
      <w:pBdr>
        <w:top w:val="nil"/>
        <w:left w:val="nil"/>
        <w:bottom w:val="nil"/>
        <w:right w:val="nil"/>
        <w:between w:val="nil"/>
      </w:pBdr>
      <w:tabs>
        <w:tab w:val="center" w:pos="4680"/>
        <w:tab w:val="right" w:pos="9360"/>
      </w:tabs>
      <w:spacing w:after="0" w:line="240" w:lineRule="auto"/>
      <w:jc w:val="right"/>
      <w:rPr>
        <w:color w:val="000000"/>
        <w:sz w:val="24"/>
        <w:szCs w:val="24"/>
        <w:cs/>
        <w:lang w:bidi="th"/>
      </w:rPr>
    </w:pPr>
    <w:r>
      <w:rPr>
        <w:color w:val="000000"/>
        <w:sz w:val="24"/>
        <w:szCs w:val="24"/>
      </w:rPr>
      <w:fldChar w:fldCharType="begin"/>
    </w:r>
    <w:r>
      <w:rPr>
        <w:color w:val="000000"/>
        <w:sz w:val="24"/>
        <w:szCs w:val="24"/>
        <w:cs/>
        <w:lang w:bidi="th"/>
      </w:rPr>
      <w:instrText>PAGE</w:instrText>
    </w:r>
    <w:r w:rsidR="00A53237">
      <w:rPr>
        <w:color w:val="000000"/>
        <w:sz w:val="24"/>
        <w:szCs w:val="24"/>
      </w:rPr>
      <w:fldChar w:fldCharType="separate"/>
    </w:r>
    <w:r w:rsidR="00A53237">
      <w:rPr>
        <w:rFonts w:cs="Angsana New"/>
        <w:noProof/>
        <w:color w:val="000000"/>
        <w:sz w:val="24"/>
        <w:szCs w:val="24"/>
        <w:cs/>
        <w:lang w:bidi="th"/>
      </w:rPr>
      <w:t>3</w:t>
    </w:r>
    <w:r>
      <w:rPr>
        <w:color w:val="000000"/>
        <w:sz w:val="24"/>
        <w:szCs w:val="24"/>
      </w:rPr>
      <w:fldChar w:fldCharType="end"/>
    </w:r>
  </w:p>
  <w:p w:rsidR="00082A0C" w:rsidRDefault="00082A0C">
    <w:pPr>
      <w:pBdr>
        <w:top w:val="nil"/>
        <w:left w:val="nil"/>
        <w:bottom w:val="nil"/>
        <w:right w:val="nil"/>
        <w:between w:val="nil"/>
      </w:pBdr>
      <w:tabs>
        <w:tab w:val="center" w:pos="4680"/>
        <w:tab w:val="right" w:pos="9360"/>
      </w:tabs>
      <w:spacing w:after="0" w:line="240" w:lineRule="auto"/>
      <w:rPr>
        <w:color w:val="000000"/>
        <w:sz w:val="24"/>
        <w:szCs w:val="24"/>
        <w:cs/>
        <w:lang w:bidi="th"/>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A0C" w:rsidRDefault="00082A0C">
    <w:pPr>
      <w:widowControl w:val="0"/>
      <w:pBdr>
        <w:top w:val="nil"/>
        <w:left w:val="nil"/>
        <w:bottom w:val="nil"/>
        <w:right w:val="nil"/>
        <w:between w:val="nil"/>
      </w:pBdr>
      <w:spacing w:after="0" w:line="276" w:lineRule="auto"/>
      <w:rPr>
        <w:color w:val="000000"/>
        <w:sz w:val="24"/>
        <w:szCs w:val="24"/>
        <w:cs/>
        <w:lang w:bidi="th"/>
      </w:rPr>
    </w:pPr>
  </w:p>
  <w:tbl>
    <w:tblPr>
      <w:tblStyle w:val="a6"/>
      <w:tblW w:w="13140" w:type="dxa"/>
      <w:tblInd w:w="0" w:type="dxa"/>
      <w:tblLayout w:type="fixed"/>
      <w:tblLook w:val="0400" w:firstRow="0" w:lastRow="0" w:firstColumn="0" w:lastColumn="0" w:noHBand="0" w:noVBand="1"/>
    </w:tblPr>
    <w:tblGrid>
      <w:gridCol w:w="4381"/>
      <w:gridCol w:w="4381"/>
      <w:gridCol w:w="4378"/>
    </w:tblGrid>
    <w:tr w:rsidR="00082A0C">
      <w:trPr>
        <w:trHeight w:val="720"/>
      </w:trPr>
      <w:tc>
        <w:tcPr>
          <w:tcW w:w="0" w:type="auto"/>
        </w:tcPr>
        <w:p w:rsidR="00082A0C" w:rsidRDefault="00082A0C">
          <w:pPr>
            <w:pBdr>
              <w:top w:val="nil"/>
              <w:left w:val="nil"/>
              <w:bottom w:val="nil"/>
              <w:right w:val="nil"/>
              <w:between w:val="nil"/>
            </w:pBdr>
            <w:tabs>
              <w:tab w:val="center" w:pos="4680"/>
              <w:tab w:val="right" w:pos="9360"/>
            </w:tabs>
            <w:spacing w:after="0" w:line="240" w:lineRule="auto"/>
            <w:rPr>
              <w:color w:val="5B9BD5"/>
              <w:sz w:val="24"/>
              <w:szCs w:val="24"/>
              <w:cs/>
              <w:lang w:bidi="th"/>
            </w:rPr>
          </w:pPr>
        </w:p>
      </w:tc>
      <w:tc>
        <w:tcPr>
          <w:tcW w:w="0" w:type="auto"/>
        </w:tcPr>
        <w:p w:rsidR="00082A0C" w:rsidRDefault="00082A0C">
          <w:pPr>
            <w:pBdr>
              <w:top w:val="nil"/>
              <w:left w:val="nil"/>
              <w:bottom w:val="nil"/>
              <w:right w:val="nil"/>
              <w:between w:val="nil"/>
            </w:pBdr>
            <w:tabs>
              <w:tab w:val="center" w:pos="4680"/>
              <w:tab w:val="right" w:pos="9360"/>
            </w:tabs>
            <w:spacing w:after="0" w:line="240" w:lineRule="auto"/>
            <w:jc w:val="center"/>
            <w:rPr>
              <w:color w:val="5B9BD5"/>
              <w:sz w:val="24"/>
              <w:szCs w:val="24"/>
              <w:cs/>
              <w:lang w:bidi="th"/>
            </w:rPr>
          </w:pPr>
        </w:p>
      </w:tc>
      <w:tc>
        <w:tcPr>
          <w:tcW w:w="0" w:type="auto"/>
        </w:tcPr>
        <w:p w:rsidR="00082A0C" w:rsidRDefault="00350FE8">
          <w:pPr>
            <w:pBdr>
              <w:top w:val="nil"/>
              <w:left w:val="nil"/>
              <w:bottom w:val="nil"/>
              <w:right w:val="nil"/>
              <w:between w:val="nil"/>
            </w:pBdr>
            <w:tabs>
              <w:tab w:val="center" w:pos="4680"/>
              <w:tab w:val="right" w:pos="9360"/>
            </w:tabs>
            <w:spacing w:after="0" w:line="240" w:lineRule="auto"/>
            <w:jc w:val="right"/>
            <w:rPr>
              <w:rFonts w:ascii="TH Sarabun PSK" w:eastAsia="TH Sarabun PSK" w:hAnsi="TH Sarabun PSK" w:cs="TH Sarabun PSK"/>
              <w:color w:val="000000"/>
              <w:sz w:val="32"/>
              <w:szCs w:val="32"/>
              <w:cs/>
              <w:lang w:bidi="th"/>
            </w:rPr>
          </w:pPr>
          <w:r>
            <w:rPr>
              <w:rFonts w:ascii="TH Sarabun PSK" w:eastAsia="TH Sarabun PSK" w:hAnsi="TH Sarabun PSK" w:cs="TH Sarabun PSK"/>
              <w:color w:val="000000"/>
              <w:sz w:val="32"/>
              <w:szCs w:val="32"/>
            </w:rPr>
            <w:fldChar w:fldCharType="begin"/>
          </w:r>
          <w:r>
            <w:rPr>
              <w:rFonts w:ascii="TH Sarabun PSK" w:eastAsia="TH Sarabun PSK" w:hAnsi="TH Sarabun PSK" w:cs="TH Sarabun PSK"/>
              <w:color w:val="000000"/>
              <w:sz w:val="32"/>
              <w:szCs w:val="32"/>
              <w:cs/>
              <w:lang w:bidi="th"/>
            </w:rPr>
            <w:instrText>PAGE</w:instrText>
          </w:r>
          <w:r>
            <w:rPr>
              <w:rFonts w:ascii="TH Sarabun PSK" w:eastAsia="TH Sarabun PSK" w:hAnsi="TH Sarabun PSK" w:cs="TH Sarabun PSK"/>
              <w:color w:val="000000"/>
              <w:sz w:val="32"/>
              <w:szCs w:val="32"/>
            </w:rPr>
            <w:fldChar w:fldCharType="end"/>
          </w:r>
        </w:p>
      </w:tc>
    </w:tr>
  </w:tbl>
  <w:p w:rsidR="00082A0C" w:rsidRDefault="00082A0C">
    <w:pPr>
      <w:pBdr>
        <w:top w:val="nil"/>
        <w:left w:val="nil"/>
        <w:bottom w:val="nil"/>
        <w:right w:val="nil"/>
        <w:between w:val="nil"/>
      </w:pBdr>
      <w:tabs>
        <w:tab w:val="center" w:pos="4680"/>
        <w:tab w:val="right" w:pos="9360"/>
      </w:tabs>
      <w:spacing w:after="0" w:line="240" w:lineRule="auto"/>
      <w:rPr>
        <w:color w:val="000000"/>
        <w:sz w:val="24"/>
        <w:szCs w:val="24"/>
        <w:cs/>
        <w:lang w:bidi="th"/>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FC5B71"/>
    <w:multiLevelType w:val="multilevel"/>
    <w:tmpl w:val="AE4AC7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A0C"/>
    <w:rsid w:val="00082A0C"/>
    <w:rsid w:val="00350FE8"/>
    <w:rsid w:val="00A5323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1494FD-C56E-4023-9869-F1ED1BE5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th"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spacing w:after="0" w:line="240" w:lineRule="auto"/>
      <w:outlineLvl w:val="0"/>
    </w:pPr>
    <w:rPr>
      <w:rFonts w:ascii="Cambria" w:eastAsia="Cambria" w:hAnsi="Cambria" w:cs="Cambria"/>
      <w:b/>
      <w:bCs/>
      <w:sz w:val="32"/>
      <w:szCs w:val="32"/>
    </w:rPr>
  </w:style>
  <w:style w:type="paragraph" w:styleId="2">
    <w:name w:val="heading 2"/>
    <w:basedOn w:val="a"/>
    <w:next w:val="a"/>
    <w:pPr>
      <w:keepNext/>
      <w:keepLines/>
      <w:spacing w:before="40" w:after="0"/>
      <w:outlineLvl w:val="1"/>
    </w:pPr>
    <w:rPr>
      <w:color w:val="2E75B5"/>
      <w:sz w:val="26"/>
      <w:szCs w:val="26"/>
    </w:rPr>
  </w:style>
  <w:style w:type="paragraph" w:styleId="3">
    <w:name w:val="heading 3"/>
    <w:basedOn w:val="a"/>
    <w:next w:val="a"/>
    <w:pPr>
      <w:keepNext/>
      <w:spacing w:before="240" w:after="60" w:line="240" w:lineRule="auto"/>
      <w:outlineLvl w:val="2"/>
    </w:pPr>
    <w:rPr>
      <w:rFonts w:ascii="Arial" w:eastAsia="Arial" w:hAnsi="Arial" w:cs="Arial"/>
      <w:b/>
      <w:bCs/>
      <w:sz w:val="26"/>
      <w:szCs w:val="26"/>
    </w:rPr>
  </w:style>
  <w:style w:type="paragraph" w:styleId="4">
    <w:name w:val="heading 4"/>
    <w:basedOn w:val="a"/>
    <w:next w:val="a"/>
    <w:pPr>
      <w:spacing w:before="200" w:after="0" w:line="276" w:lineRule="auto"/>
      <w:outlineLvl w:val="3"/>
    </w:pPr>
    <w:rPr>
      <w:rFonts w:ascii="Cambria" w:eastAsia="Cambria" w:hAnsi="Cambria" w:cs="Cambria"/>
      <w:b/>
      <w:bCs/>
      <w:i/>
      <w:iCs/>
    </w:rPr>
  </w:style>
  <w:style w:type="paragraph" w:styleId="5">
    <w:name w:val="heading 5"/>
    <w:basedOn w:val="a"/>
    <w:next w:val="a"/>
    <w:pPr>
      <w:spacing w:before="200" w:after="0" w:line="276" w:lineRule="auto"/>
      <w:outlineLvl w:val="4"/>
    </w:pPr>
    <w:rPr>
      <w:rFonts w:ascii="Cambria" w:eastAsia="Cambria" w:hAnsi="Cambria" w:cs="Cambria"/>
      <w:b/>
      <w:bCs/>
      <w:color w:val="7F7F7F"/>
    </w:rPr>
  </w:style>
  <w:style w:type="paragraph" w:styleId="6">
    <w:name w:val="heading 6"/>
    <w:basedOn w:val="a"/>
    <w:next w:val="a"/>
    <w:pPr>
      <w:keepNext/>
      <w:keepLines/>
      <w:spacing w:before="200" w:after="0" w:line="240" w:lineRule="auto"/>
      <w:outlineLvl w:val="5"/>
    </w:pPr>
    <w:rPr>
      <w:i/>
      <w:iCs/>
      <w:color w:val="1E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pBdr>
        <w:bottom w:val="single" w:sz="4" w:space="1" w:color="000000"/>
      </w:pBdr>
      <w:spacing w:after="200" w:line="240" w:lineRule="auto"/>
    </w:pPr>
    <w:rPr>
      <w:rFonts w:ascii="Cambria" w:eastAsia="Cambria" w:hAnsi="Cambria" w:cs="Cambria"/>
      <w:sz w:val="52"/>
      <w:szCs w:val="52"/>
    </w:rPr>
  </w:style>
  <w:style w:type="paragraph" w:styleId="a4">
    <w:name w:val="Subtitle"/>
    <w:basedOn w:val="a"/>
    <w:next w:val="a"/>
    <w:pPr>
      <w:spacing w:after="600" w:line="276" w:lineRule="auto"/>
    </w:pPr>
    <w:rPr>
      <w:rFonts w:ascii="Cambria" w:eastAsia="Cambria" w:hAnsi="Cambria" w:cs="Cambria"/>
      <w:i/>
      <w:iCs/>
      <w:sz w:val="24"/>
      <w:szCs w:val="24"/>
    </w:r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WAURMbEskeZOxyMaQvoTyHmXg==">CgMxLjA4AHIhMUZuczZ3Zlo1UXRjbm1rV3JJbWhPMmZTUk1lVEl5d2Jm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1605</Words>
  <Characters>9153</Characters>
  <Application>Microsoft Office Word</Application>
  <DocSecurity>0</DocSecurity>
  <Lines>76</Lines>
  <Paragraphs>21</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2026-05-19T03:14:00Z</dcterms:created>
  <dcterms:modified xsi:type="dcterms:W3CDTF">2026-05-19T03:14:00Z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0x010100373B3E3E046E4D459427DEE3AC9BCE6D</vt:lpwstr>
  </property>
  <property fmtid="{D5CDD505-2E9C-101B-9397-08002B2CF9AE}" pid="3" name="MediaServiceImageTags">
    <vt:lpwstr>MediaServiceImageTags</vt:lpwstr>
  </property>
</Properties>
</file>